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87C8A" w:rsidRDefault="00B87C8A">
      <w:pPr>
        <w:autoSpaceDE w:val="0"/>
        <w:autoSpaceDN w:val="0"/>
        <w:adjustRightInd w:val="0"/>
        <w:ind w:firstLine="0"/>
        <w:rPr>
          <w:rFonts w:ascii="黑体" w:eastAsia="黑体" w:cs="黑体" w:hint="default"/>
          <w:kern w:val="0"/>
          <w:sz w:val="84"/>
          <w:szCs w:val="84"/>
        </w:rPr>
      </w:pPr>
      <w:bookmarkStart w:id="0" w:name="_GoBack"/>
      <w:bookmarkEnd w:id="0"/>
    </w:p>
    <w:p w:rsidR="00B87C8A" w:rsidRDefault="00B87C8A">
      <w:pPr>
        <w:autoSpaceDE w:val="0"/>
        <w:autoSpaceDN w:val="0"/>
        <w:adjustRightInd w:val="0"/>
        <w:ind w:firstLine="0"/>
        <w:rPr>
          <w:rFonts w:ascii="黑体" w:eastAsia="黑体" w:cs="黑体" w:hint="default"/>
          <w:kern w:val="0"/>
          <w:sz w:val="84"/>
          <w:szCs w:val="84"/>
        </w:rPr>
      </w:pPr>
    </w:p>
    <w:p w:rsidR="00B87C8A" w:rsidRDefault="00B87C8A">
      <w:pPr>
        <w:autoSpaceDE w:val="0"/>
        <w:autoSpaceDN w:val="0"/>
        <w:adjustRightInd w:val="0"/>
        <w:ind w:firstLine="0"/>
        <w:rPr>
          <w:rFonts w:ascii="黑体" w:eastAsia="黑体" w:cs="黑体" w:hint="default"/>
          <w:kern w:val="0"/>
          <w:sz w:val="84"/>
          <w:szCs w:val="84"/>
        </w:rPr>
      </w:pPr>
    </w:p>
    <w:p w:rsidR="00B87C8A" w:rsidRDefault="00B87C8A">
      <w:pPr>
        <w:autoSpaceDE w:val="0"/>
        <w:autoSpaceDN w:val="0"/>
        <w:adjustRightInd w:val="0"/>
        <w:ind w:firstLine="0"/>
        <w:rPr>
          <w:rFonts w:ascii="黑体" w:eastAsia="黑体" w:cs="黑体" w:hint="default"/>
          <w:kern w:val="0"/>
          <w:sz w:val="84"/>
          <w:szCs w:val="84"/>
        </w:rPr>
      </w:pPr>
    </w:p>
    <w:p w:rsidR="00B87C8A" w:rsidRDefault="002D1C8A">
      <w:pPr>
        <w:autoSpaceDE w:val="0"/>
        <w:autoSpaceDN w:val="0"/>
        <w:adjustRightInd w:val="0"/>
        <w:ind w:firstLine="0"/>
        <w:jc w:val="center"/>
        <w:rPr>
          <w:rFonts w:ascii="Times New Roman" w:eastAsia="黑体" w:hAnsi="Times New Roman" w:hint="default"/>
          <w:b/>
          <w:kern w:val="0"/>
          <w:sz w:val="96"/>
          <w:szCs w:val="96"/>
        </w:rPr>
      </w:pPr>
      <w:r>
        <w:rPr>
          <w:rFonts w:ascii="黑体" w:eastAsia="黑体" w:cs="黑体"/>
          <w:b/>
          <w:kern w:val="0"/>
          <w:sz w:val="96"/>
          <w:szCs w:val="96"/>
        </w:rPr>
        <w:t>2021年度</w:t>
      </w:r>
    </w:p>
    <w:p w:rsidR="00B87C8A" w:rsidRDefault="002D1C8A">
      <w:pPr>
        <w:autoSpaceDE w:val="0"/>
        <w:autoSpaceDN w:val="0"/>
        <w:adjustRightInd w:val="0"/>
        <w:ind w:firstLine="0"/>
        <w:jc w:val="center"/>
        <w:rPr>
          <w:rFonts w:ascii="黑体" w:eastAsia="黑体" w:hAnsi="Times New Roman" w:cs="黑体" w:hint="default"/>
          <w:kern w:val="0"/>
          <w:sz w:val="84"/>
          <w:szCs w:val="84"/>
        </w:rPr>
        <w:sectPr w:rsidR="00B87C8A">
          <w:pgSz w:w="12240" w:h="15840"/>
          <w:pgMar w:top="1440" w:right="720" w:bottom="1440" w:left="1800" w:header="720" w:footer="720" w:gutter="0"/>
          <w:cols w:space="720"/>
        </w:sectPr>
      </w:pPr>
      <w:r>
        <w:rPr>
          <w:rFonts w:ascii="黑体" w:eastAsia="黑体" w:hAnsi="Times New Roman" w:cs="黑体"/>
          <w:b/>
          <w:sz w:val="96"/>
          <w:szCs w:val="96"/>
          <w:lang w:val="zh-CN"/>
        </w:rPr>
        <w:t>吉首大学</w:t>
      </w:r>
      <w:r>
        <w:rPr>
          <w:rFonts w:ascii="黑体" w:eastAsia="黑体" w:hAnsi="Times New Roman" w:cs="黑体"/>
          <w:b/>
          <w:kern w:val="0"/>
          <w:sz w:val="96"/>
          <w:szCs w:val="96"/>
        </w:rPr>
        <w:t>部门决算</w:t>
      </w:r>
    </w:p>
    <w:p w:rsidR="00B87C8A" w:rsidRDefault="002D1C8A">
      <w:pPr>
        <w:autoSpaceDE w:val="0"/>
        <w:autoSpaceDN w:val="0"/>
        <w:adjustRightInd w:val="0"/>
        <w:spacing w:line="520" w:lineRule="exact"/>
        <w:jc w:val="center"/>
        <w:rPr>
          <w:rFonts w:ascii="宋体" w:hAnsi="Times New Roman" w:cs="宋体" w:hint="default"/>
          <w:b/>
          <w:kern w:val="0"/>
          <w:sz w:val="44"/>
          <w:szCs w:val="44"/>
        </w:rPr>
      </w:pPr>
      <w:r>
        <w:rPr>
          <w:rFonts w:ascii="宋体" w:hAnsi="Times New Roman" w:cs="宋体"/>
          <w:b/>
          <w:kern w:val="0"/>
          <w:sz w:val="44"/>
          <w:szCs w:val="44"/>
        </w:rPr>
        <w:lastRenderedPageBreak/>
        <w:t>目 录</w:t>
      </w:r>
    </w:p>
    <w:p w:rsidR="00B87C8A" w:rsidRDefault="00B87C8A">
      <w:pPr>
        <w:autoSpaceDE w:val="0"/>
        <w:autoSpaceDN w:val="0"/>
        <w:adjustRightInd w:val="0"/>
        <w:spacing w:line="520" w:lineRule="exact"/>
        <w:jc w:val="left"/>
        <w:rPr>
          <w:rFonts w:ascii="黑体" w:eastAsia="黑体" w:hAnsi="Times New Roman" w:cs="黑体" w:hint="default"/>
          <w:b/>
          <w:kern w:val="0"/>
          <w:sz w:val="28"/>
          <w:szCs w:val="28"/>
        </w:rPr>
      </w:pPr>
    </w:p>
    <w:p w:rsidR="00B87C8A" w:rsidRDefault="002D1C8A">
      <w:pPr>
        <w:autoSpaceDE w:val="0"/>
        <w:autoSpaceDN w:val="0"/>
        <w:adjustRightInd w:val="0"/>
        <w:spacing w:line="520" w:lineRule="exact"/>
        <w:jc w:val="left"/>
        <w:rPr>
          <w:rFonts w:ascii="Times New Roman" w:eastAsia="黑体" w:hAnsi="Times New Roman" w:hint="default"/>
          <w:b/>
          <w:kern w:val="0"/>
          <w:sz w:val="28"/>
          <w:szCs w:val="28"/>
        </w:rPr>
      </w:pPr>
      <w:r>
        <w:rPr>
          <w:rFonts w:ascii="黑体" w:eastAsia="黑体" w:hAnsi="Times New Roman" w:cs="黑体"/>
          <w:b/>
          <w:kern w:val="0"/>
          <w:sz w:val="28"/>
          <w:szCs w:val="28"/>
        </w:rPr>
        <w:t xml:space="preserve">第一部分 </w:t>
      </w:r>
      <w:r>
        <w:rPr>
          <w:rFonts w:ascii="黑体" w:eastAsia="黑体" w:hAnsi="Times New Roman" w:cs="黑体"/>
          <w:b/>
          <w:sz w:val="28"/>
          <w:szCs w:val="28"/>
          <w:lang w:val="zh-CN"/>
        </w:rPr>
        <w:t>吉首大学</w:t>
      </w:r>
      <w:r>
        <w:rPr>
          <w:rFonts w:ascii="黑体" w:eastAsia="黑体" w:hAnsi="Times New Roman" w:cs="黑体"/>
          <w:b/>
          <w:kern w:val="0"/>
          <w:sz w:val="28"/>
          <w:szCs w:val="28"/>
        </w:rPr>
        <w:t>概况</w:t>
      </w:r>
    </w:p>
    <w:p w:rsidR="00B87C8A" w:rsidRDefault="002D1C8A">
      <w:pPr>
        <w:autoSpaceDE w:val="0"/>
        <w:autoSpaceDN w:val="0"/>
        <w:adjustRightInd w:val="0"/>
        <w:spacing w:line="520" w:lineRule="exact"/>
        <w:ind w:firstLine="700"/>
        <w:jc w:val="left"/>
        <w:rPr>
          <w:rFonts w:ascii="Times New Roman" w:hAnsi="Times New Roman" w:hint="default"/>
          <w:kern w:val="0"/>
          <w:sz w:val="28"/>
          <w:szCs w:val="28"/>
        </w:rPr>
      </w:pPr>
      <w:r>
        <w:rPr>
          <w:rFonts w:ascii="宋体" w:hAnsi="Times New Roman" w:cs="宋体"/>
          <w:kern w:val="0"/>
          <w:sz w:val="28"/>
          <w:szCs w:val="28"/>
        </w:rPr>
        <w:t>一、部门职责</w:t>
      </w:r>
    </w:p>
    <w:p w:rsidR="00B87C8A" w:rsidRDefault="002D1C8A">
      <w:pPr>
        <w:autoSpaceDE w:val="0"/>
        <w:autoSpaceDN w:val="0"/>
        <w:adjustRightInd w:val="0"/>
        <w:spacing w:line="520" w:lineRule="exact"/>
        <w:ind w:firstLine="700"/>
        <w:jc w:val="left"/>
        <w:rPr>
          <w:rFonts w:ascii="Times New Roman" w:hAnsi="Times New Roman" w:hint="default"/>
          <w:kern w:val="0"/>
          <w:sz w:val="28"/>
          <w:szCs w:val="28"/>
        </w:rPr>
      </w:pPr>
      <w:r>
        <w:rPr>
          <w:rFonts w:ascii="宋体" w:hAnsi="Times New Roman" w:cs="宋体"/>
          <w:kern w:val="0"/>
          <w:sz w:val="28"/>
          <w:szCs w:val="28"/>
        </w:rPr>
        <w:t>二、机构设置</w:t>
      </w:r>
    </w:p>
    <w:p w:rsidR="00B87C8A" w:rsidRDefault="002D1C8A">
      <w:pPr>
        <w:autoSpaceDE w:val="0"/>
        <w:autoSpaceDN w:val="0"/>
        <w:adjustRightInd w:val="0"/>
        <w:spacing w:line="520" w:lineRule="exact"/>
        <w:jc w:val="left"/>
        <w:rPr>
          <w:rFonts w:ascii="Times New Roman" w:eastAsia="黑体" w:hAnsi="Times New Roman" w:hint="default"/>
          <w:b/>
          <w:kern w:val="0"/>
          <w:sz w:val="28"/>
          <w:szCs w:val="28"/>
        </w:rPr>
      </w:pPr>
      <w:r>
        <w:rPr>
          <w:rFonts w:ascii="黑体" w:eastAsia="黑体" w:hAnsi="Times New Roman" w:cs="黑体"/>
          <w:b/>
          <w:kern w:val="0"/>
          <w:sz w:val="28"/>
          <w:szCs w:val="28"/>
        </w:rPr>
        <w:t>第二部分 吉首大学2021年度部门决算表</w:t>
      </w:r>
    </w:p>
    <w:p w:rsidR="00B87C8A" w:rsidRDefault="002D1C8A">
      <w:pPr>
        <w:autoSpaceDE w:val="0"/>
        <w:autoSpaceDN w:val="0"/>
        <w:adjustRightInd w:val="0"/>
        <w:spacing w:line="520" w:lineRule="exact"/>
        <w:ind w:firstLine="700"/>
        <w:jc w:val="left"/>
        <w:rPr>
          <w:rFonts w:ascii="Times New Roman" w:hAnsi="Times New Roman" w:hint="default"/>
          <w:kern w:val="0"/>
          <w:sz w:val="28"/>
          <w:szCs w:val="28"/>
        </w:rPr>
      </w:pPr>
      <w:r>
        <w:rPr>
          <w:rFonts w:ascii="宋体" w:hAnsi="Times New Roman" w:cs="宋体"/>
          <w:kern w:val="0"/>
          <w:sz w:val="28"/>
          <w:szCs w:val="28"/>
        </w:rPr>
        <w:t>一、收入支出决算总表</w:t>
      </w:r>
    </w:p>
    <w:p w:rsidR="00B87C8A" w:rsidRDefault="002D1C8A">
      <w:pPr>
        <w:autoSpaceDE w:val="0"/>
        <w:autoSpaceDN w:val="0"/>
        <w:adjustRightInd w:val="0"/>
        <w:spacing w:line="520" w:lineRule="exact"/>
        <w:ind w:firstLine="700"/>
        <w:jc w:val="left"/>
        <w:rPr>
          <w:rFonts w:ascii="Times New Roman" w:hAnsi="Times New Roman" w:hint="default"/>
          <w:kern w:val="0"/>
          <w:sz w:val="28"/>
          <w:szCs w:val="28"/>
        </w:rPr>
      </w:pPr>
      <w:r>
        <w:rPr>
          <w:rFonts w:ascii="宋体" w:hAnsi="Times New Roman" w:cs="宋体"/>
          <w:kern w:val="0"/>
          <w:sz w:val="28"/>
          <w:szCs w:val="28"/>
        </w:rPr>
        <w:t>二、收入决算表</w:t>
      </w:r>
    </w:p>
    <w:p w:rsidR="00B87C8A" w:rsidRDefault="002D1C8A">
      <w:pPr>
        <w:autoSpaceDE w:val="0"/>
        <w:autoSpaceDN w:val="0"/>
        <w:adjustRightInd w:val="0"/>
        <w:spacing w:line="520" w:lineRule="exact"/>
        <w:ind w:firstLine="700"/>
        <w:jc w:val="left"/>
        <w:rPr>
          <w:rFonts w:ascii="Times New Roman" w:hAnsi="Times New Roman" w:hint="default"/>
          <w:kern w:val="0"/>
          <w:sz w:val="28"/>
          <w:szCs w:val="28"/>
        </w:rPr>
      </w:pPr>
      <w:r>
        <w:rPr>
          <w:rFonts w:ascii="宋体" w:hAnsi="Times New Roman" w:cs="宋体"/>
          <w:kern w:val="0"/>
          <w:sz w:val="28"/>
          <w:szCs w:val="28"/>
        </w:rPr>
        <w:t>三、支出决算表</w:t>
      </w:r>
    </w:p>
    <w:p w:rsidR="00B87C8A" w:rsidRDefault="002D1C8A">
      <w:pPr>
        <w:autoSpaceDE w:val="0"/>
        <w:autoSpaceDN w:val="0"/>
        <w:adjustRightInd w:val="0"/>
        <w:spacing w:line="520" w:lineRule="exact"/>
        <w:ind w:firstLine="700"/>
        <w:jc w:val="left"/>
        <w:rPr>
          <w:rFonts w:ascii="Times New Roman" w:hAnsi="Times New Roman" w:hint="default"/>
          <w:kern w:val="0"/>
          <w:sz w:val="28"/>
          <w:szCs w:val="28"/>
        </w:rPr>
      </w:pPr>
      <w:r>
        <w:rPr>
          <w:rFonts w:ascii="宋体" w:hAnsi="Times New Roman" w:cs="宋体"/>
          <w:kern w:val="0"/>
          <w:sz w:val="28"/>
          <w:szCs w:val="28"/>
        </w:rPr>
        <w:t>四、财政拨款收入支出决算总表</w:t>
      </w:r>
    </w:p>
    <w:p w:rsidR="00B87C8A" w:rsidRDefault="002D1C8A">
      <w:pPr>
        <w:autoSpaceDE w:val="0"/>
        <w:autoSpaceDN w:val="0"/>
        <w:adjustRightInd w:val="0"/>
        <w:spacing w:line="520" w:lineRule="exact"/>
        <w:ind w:firstLine="700"/>
        <w:jc w:val="left"/>
        <w:rPr>
          <w:rFonts w:ascii="Times New Roman" w:hAnsi="Times New Roman" w:hint="default"/>
          <w:kern w:val="0"/>
          <w:sz w:val="28"/>
          <w:szCs w:val="28"/>
        </w:rPr>
      </w:pPr>
      <w:r>
        <w:rPr>
          <w:rFonts w:ascii="宋体" w:hAnsi="Times New Roman" w:cs="宋体"/>
          <w:kern w:val="0"/>
          <w:sz w:val="28"/>
          <w:szCs w:val="28"/>
        </w:rPr>
        <w:t>五、一般公共预算财政拨款支出决算表</w:t>
      </w:r>
    </w:p>
    <w:p w:rsidR="00B87C8A" w:rsidRDefault="002D1C8A">
      <w:pPr>
        <w:autoSpaceDE w:val="0"/>
        <w:autoSpaceDN w:val="0"/>
        <w:adjustRightInd w:val="0"/>
        <w:spacing w:line="520" w:lineRule="exact"/>
        <w:ind w:firstLine="700"/>
        <w:jc w:val="left"/>
        <w:rPr>
          <w:rFonts w:ascii="Times New Roman" w:hAnsi="Times New Roman" w:hint="default"/>
          <w:kern w:val="0"/>
          <w:sz w:val="28"/>
          <w:szCs w:val="28"/>
        </w:rPr>
      </w:pPr>
      <w:r>
        <w:rPr>
          <w:rFonts w:ascii="宋体" w:hAnsi="Times New Roman" w:cs="宋体"/>
          <w:kern w:val="0"/>
          <w:sz w:val="28"/>
          <w:szCs w:val="28"/>
        </w:rPr>
        <w:t>六、一般公共预算财政拨款基本支出决算表</w:t>
      </w:r>
    </w:p>
    <w:p w:rsidR="00B87C8A" w:rsidRDefault="002D1C8A">
      <w:pPr>
        <w:autoSpaceDE w:val="0"/>
        <w:autoSpaceDN w:val="0"/>
        <w:adjustRightInd w:val="0"/>
        <w:spacing w:line="520" w:lineRule="exact"/>
        <w:ind w:firstLine="700"/>
        <w:jc w:val="left"/>
        <w:rPr>
          <w:rFonts w:ascii="Times New Roman" w:hAnsi="Times New Roman" w:hint="default"/>
          <w:kern w:val="0"/>
          <w:sz w:val="28"/>
          <w:szCs w:val="28"/>
        </w:rPr>
      </w:pPr>
      <w:r>
        <w:rPr>
          <w:rFonts w:ascii="宋体" w:hAnsi="Times New Roman" w:cs="宋体"/>
          <w:kern w:val="0"/>
          <w:sz w:val="28"/>
          <w:szCs w:val="28"/>
        </w:rPr>
        <w:t>七、一般公共预算财政拨款</w:t>
      </w:r>
      <w:r>
        <w:rPr>
          <w:rFonts w:ascii="Times New Roman" w:hAnsi="Times New Roman" w:hint="default"/>
          <w:kern w:val="0"/>
          <w:sz w:val="28"/>
          <w:szCs w:val="28"/>
        </w:rPr>
        <w:t>“</w:t>
      </w:r>
      <w:r>
        <w:rPr>
          <w:rFonts w:ascii="宋体" w:hAnsi="Times New Roman" w:cs="宋体"/>
          <w:kern w:val="0"/>
          <w:sz w:val="28"/>
          <w:szCs w:val="28"/>
        </w:rPr>
        <w:t>三公</w:t>
      </w:r>
      <w:r>
        <w:rPr>
          <w:rFonts w:ascii="Times New Roman" w:hAnsi="Times New Roman" w:hint="default"/>
          <w:kern w:val="0"/>
          <w:sz w:val="28"/>
          <w:szCs w:val="28"/>
        </w:rPr>
        <w:t>”</w:t>
      </w:r>
      <w:r>
        <w:rPr>
          <w:rFonts w:ascii="宋体" w:hAnsi="Times New Roman" w:cs="宋体"/>
          <w:kern w:val="0"/>
          <w:sz w:val="28"/>
          <w:szCs w:val="28"/>
        </w:rPr>
        <w:t>经费支出决算表</w:t>
      </w:r>
    </w:p>
    <w:p w:rsidR="00B87C8A" w:rsidRDefault="002D1C8A">
      <w:pPr>
        <w:autoSpaceDE w:val="0"/>
        <w:autoSpaceDN w:val="0"/>
        <w:adjustRightInd w:val="0"/>
        <w:spacing w:line="520" w:lineRule="exact"/>
        <w:ind w:firstLine="700"/>
        <w:jc w:val="left"/>
        <w:rPr>
          <w:rFonts w:ascii="宋体" w:hAnsi="Times New Roman" w:cs="宋体" w:hint="default"/>
          <w:kern w:val="0"/>
          <w:sz w:val="28"/>
          <w:szCs w:val="28"/>
        </w:rPr>
      </w:pPr>
      <w:r>
        <w:rPr>
          <w:rFonts w:ascii="宋体" w:hAnsi="Times New Roman" w:cs="宋体"/>
          <w:kern w:val="0"/>
          <w:sz w:val="28"/>
          <w:szCs w:val="28"/>
        </w:rPr>
        <w:t>八、政府性基金预算财政拨款收入支出决算表</w:t>
      </w:r>
    </w:p>
    <w:p w:rsidR="00B87C8A" w:rsidRDefault="002D1C8A">
      <w:pPr>
        <w:autoSpaceDE w:val="0"/>
        <w:autoSpaceDN w:val="0"/>
        <w:adjustRightInd w:val="0"/>
        <w:spacing w:line="520" w:lineRule="exact"/>
        <w:ind w:firstLine="700"/>
        <w:jc w:val="left"/>
        <w:rPr>
          <w:rFonts w:ascii="Times New Roman" w:hAnsi="Times New Roman" w:hint="default"/>
          <w:kern w:val="0"/>
          <w:sz w:val="28"/>
          <w:szCs w:val="28"/>
        </w:rPr>
      </w:pPr>
      <w:r>
        <w:rPr>
          <w:rFonts w:ascii="宋体" w:hAnsi="Times New Roman" w:cs="宋体"/>
          <w:kern w:val="0"/>
          <w:sz w:val="28"/>
          <w:szCs w:val="28"/>
        </w:rPr>
        <w:t>九、国有资本经营预算财政拨款支出决算表</w:t>
      </w:r>
    </w:p>
    <w:p w:rsidR="00B87C8A" w:rsidRDefault="002D1C8A">
      <w:pPr>
        <w:autoSpaceDE w:val="0"/>
        <w:autoSpaceDN w:val="0"/>
        <w:adjustRightInd w:val="0"/>
        <w:spacing w:line="520" w:lineRule="exact"/>
        <w:jc w:val="left"/>
        <w:rPr>
          <w:rFonts w:ascii="Times New Roman" w:eastAsia="黑体" w:hAnsi="Times New Roman" w:hint="default"/>
          <w:b/>
          <w:kern w:val="0"/>
          <w:sz w:val="28"/>
          <w:szCs w:val="28"/>
        </w:rPr>
      </w:pPr>
      <w:r>
        <w:rPr>
          <w:rFonts w:ascii="黑体" w:eastAsia="黑体" w:hAnsi="Times New Roman" w:cs="黑体"/>
          <w:b/>
          <w:kern w:val="0"/>
          <w:sz w:val="28"/>
          <w:szCs w:val="28"/>
        </w:rPr>
        <w:t>第三部分 吉首大学2021年度部门决算情况说明</w:t>
      </w:r>
    </w:p>
    <w:p w:rsidR="00B87C8A" w:rsidRDefault="002D1C8A">
      <w:pPr>
        <w:autoSpaceDE w:val="0"/>
        <w:autoSpaceDN w:val="0"/>
        <w:adjustRightInd w:val="0"/>
        <w:spacing w:line="520" w:lineRule="exact"/>
        <w:ind w:firstLine="700"/>
        <w:jc w:val="left"/>
        <w:rPr>
          <w:rFonts w:ascii="Times New Roman" w:hAnsi="Times New Roman" w:hint="default"/>
          <w:kern w:val="0"/>
          <w:sz w:val="28"/>
          <w:szCs w:val="28"/>
        </w:rPr>
      </w:pPr>
      <w:r>
        <w:rPr>
          <w:rFonts w:ascii="宋体" w:hAnsi="Times New Roman" w:cs="宋体"/>
          <w:kern w:val="0"/>
          <w:sz w:val="28"/>
          <w:szCs w:val="28"/>
        </w:rPr>
        <w:t>一、收入支出决算总体情况说明</w:t>
      </w:r>
    </w:p>
    <w:p w:rsidR="00B87C8A" w:rsidRDefault="002D1C8A">
      <w:pPr>
        <w:autoSpaceDE w:val="0"/>
        <w:autoSpaceDN w:val="0"/>
        <w:adjustRightInd w:val="0"/>
        <w:spacing w:line="520" w:lineRule="exact"/>
        <w:ind w:firstLine="700"/>
        <w:jc w:val="left"/>
        <w:rPr>
          <w:rFonts w:ascii="Times New Roman" w:hAnsi="Times New Roman" w:hint="default"/>
          <w:sz w:val="28"/>
          <w:szCs w:val="28"/>
        </w:rPr>
      </w:pPr>
      <w:r>
        <w:rPr>
          <w:rFonts w:ascii="宋体" w:hAnsi="Times New Roman" w:cs="宋体"/>
          <w:sz w:val="28"/>
          <w:szCs w:val="28"/>
        </w:rPr>
        <w:t>二、收入决算情况说明</w:t>
      </w:r>
    </w:p>
    <w:p w:rsidR="00B87C8A" w:rsidRDefault="002D1C8A">
      <w:pPr>
        <w:autoSpaceDE w:val="0"/>
        <w:autoSpaceDN w:val="0"/>
        <w:adjustRightInd w:val="0"/>
        <w:spacing w:line="520" w:lineRule="exact"/>
        <w:ind w:firstLine="700"/>
        <w:jc w:val="left"/>
        <w:rPr>
          <w:rFonts w:ascii="Times New Roman" w:hAnsi="Times New Roman" w:hint="default"/>
          <w:kern w:val="0"/>
          <w:sz w:val="28"/>
          <w:szCs w:val="28"/>
        </w:rPr>
      </w:pPr>
      <w:r>
        <w:rPr>
          <w:rFonts w:ascii="宋体" w:hAnsi="Times New Roman" w:cs="宋体"/>
          <w:kern w:val="0"/>
          <w:sz w:val="28"/>
          <w:szCs w:val="28"/>
        </w:rPr>
        <w:t>三、支出决算情况说明</w:t>
      </w:r>
    </w:p>
    <w:p w:rsidR="00B87C8A" w:rsidRDefault="002D1C8A">
      <w:pPr>
        <w:autoSpaceDE w:val="0"/>
        <w:autoSpaceDN w:val="0"/>
        <w:adjustRightInd w:val="0"/>
        <w:spacing w:line="520" w:lineRule="exact"/>
        <w:ind w:firstLine="700"/>
        <w:jc w:val="left"/>
        <w:rPr>
          <w:rFonts w:ascii="Times New Roman" w:hAnsi="Times New Roman" w:hint="default"/>
          <w:kern w:val="0"/>
          <w:sz w:val="28"/>
          <w:szCs w:val="28"/>
        </w:rPr>
      </w:pPr>
      <w:r>
        <w:rPr>
          <w:rFonts w:ascii="宋体" w:hAnsi="Times New Roman" w:cs="宋体"/>
          <w:kern w:val="0"/>
          <w:sz w:val="28"/>
          <w:szCs w:val="28"/>
        </w:rPr>
        <w:t>四、财政拨款收入支出决算总体情况说明</w:t>
      </w:r>
    </w:p>
    <w:p w:rsidR="00B87C8A" w:rsidRDefault="002D1C8A">
      <w:pPr>
        <w:autoSpaceDE w:val="0"/>
        <w:autoSpaceDN w:val="0"/>
        <w:adjustRightInd w:val="0"/>
        <w:spacing w:line="520" w:lineRule="exact"/>
        <w:ind w:firstLine="700"/>
        <w:jc w:val="left"/>
        <w:rPr>
          <w:rFonts w:ascii="Times New Roman" w:hAnsi="Times New Roman" w:hint="default"/>
          <w:kern w:val="0"/>
          <w:sz w:val="28"/>
          <w:szCs w:val="28"/>
        </w:rPr>
      </w:pPr>
      <w:r>
        <w:rPr>
          <w:rFonts w:ascii="宋体" w:hAnsi="Times New Roman" w:cs="宋体"/>
          <w:kern w:val="0"/>
          <w:sz w:val="28"/>
          <w:szCs w:val="28"/>
        </w:rPr>
        <w:t>五、一般公共预算财政拨款支出决算情况说明</w:t>
      </w:r>
    </w:p>
    <w:p w:rsidR="00B87C8A" w:rsidRDefault="002D1C8A">
      <w:pPr>
        <w:autoSpaceDE w:val="0"/>
        <w:autoSpaceDN w:val="0"/>
        <w:adjustRightInd w:val="0"/>
        <w:spacing w:line="520" w:lineRule="exact"/>
        <w:ind w:firstLine="700"/>
        <w:jc w:val="left"/>
        <w:rPr>
          <w:rFonts w:ascii="Times New Roman" w:hAnsi="Times New Roman" w:hint="default"/>
          <w:kern w:val="0"/>
          <w:sz w:val="28"/>
          <w:szCs w:val="28"/>
        </w:rPr>
      </w:pPr>
      <w:r>
        <w:rPr>
          <w:rFonts w:ascii="宋体" w:hAnsi="Times New Roman" w:cs="宋体"/>
          <w:kern w:val="0"/>
          <w:sz w:val="28"/>
          <w:szCs w:val="28"/>
        </w:rPr>
        <w:t>六、一般公共预算财政拨款基本支出决算情况说明</w:t>
      </w:r>
    </w:p>
    <w:p w:rsidR="00B87C8A" w:rsidRDefault="002D1C8A">
      <w:pPr>
        <w:autoSpaceDE w:val="0"/>
        <w:autoSpaceDN w:val="0"/>
        <w:adjustRightInd w:val="0"/>
        <w:spacing w:line="520" w:lineRule="exact"/>
        <w:ind w:firstLine="700"/>
        <w:jc w:val="left"/>
        <w:rPr>
          <w:rFonts w:ascii="宋体" w:hAnsi="Times New Roman" w:cs="宋体" w:hint="default"/>
          <w:kern w:val="0"/>
          <w:sz w:val="28"/>
          <w:szCs w:val="28"/>
        </w:rPr>
      </w:pPr>
      <w:r>
        <w:rPr>
          <w:rFonts w:ascii="宋体" w:hAnsi="Times New Roman" w:cs="宋体"/>
          <w:kern w:val="0"/>
          <w:sz w:val="28"/>
          <w:szCs w:val="28"/>
        </w:rPr>
        <w:t>七、一般公共预算财政拨款三公经费支出决算情况说明</w:t>
      </w:r>
    </w:p>
    <w:p w:rsidR="00B87C8A" w:rsidRDefault="002D1C8A">
      <w:pPr>
        <w:autoSpaceDE w:val="0"/>
        <w:autoSpaceDN w:val="0"/>
        <w:adjustRightInd w:val="0"/>
        <w:spacing w:line="500" w:lineRule="exact"/>
        <w:ind w:firstLine="700"/>
        <w:jc w:val="left"/>
        <w:rPr>
          <w:rFonts w:ascii="宋体" w:hAnsi="Times New Roman" w:cs="宋体" w:hint="default"/>
          <w:kern w:val="0"/>
          <w:sz w:val="28"/>
          <w:szCs w:val="28"/>
        </w:rPr>
      </w:pPr>
      <w:r>
        <w:rPr>
          <w:rFonts w:ascii="宋体" w:hAnsi="Times New Roman" w:cs="宋体"/>
          <w:kern w:val="0"/>
          <w:sz w:val="28"/>
          <w:szCs w:val="28"/>
        </w:rPr>
        <w:t>八、政府性基金预算收入支出决算情况</w:t>
      </w:r>
    </w:p>
    <w:p w:rsidR="00B87C8A" w:rsidRDefault="002D1C8A">
      <w:pPr>
        <w:autoSpaceDE w:val="0"/>
        <w:autoSpaceDN w:val="0"/>
        <w:adjustRightInd w:val="0"/>
        <w:spacing w:line="500" w:lineRule="exact"/>
        <w:ind w:firstLine="700"/>
        <w:jc w:val="left"/>
        <w:rPr>
          <w:rFonts w:ascii="仿宋_GB2312" w:eastAsia="仿宋_GB2312" w:hAnsi="Times New Roman" w:cs="仿宋_GB2312" w:hint="default"/>
          <w:kern w:val="0"/>
          <w:sz w:val="28"/>
          <w:szCs w:val="28"/>
        </w:rPr>
      </w:pPr>
      <w:r>
        <w:rPr>
          <w:rFonts w:ascii="宋体" w:hAnsi="Times New Roman" w:cs="宋体"/>
          <w:kern w:val="0"/>
          <w:sz w:val="28"/>
          <w:szCs w:val="28"/>
        </w:rPr>
        <w:t>九、国有资本经营预算财政拨款支出决算情况</w:t>
      </w:r>
    </w:p>
    <w:p w:rsidR="00B87C8A" w:rsidRDefault="002D1C8A">
      <w:pPr>
        <w:autoSpaceDE w:val="0"/>
        <w:autoSpaceDN w:val="0"/>
        <w:adjustRightInd w:val="0"/>
        <w:spacing w:line="500" w:lineRule="exact"/>
        <w:ind w:firstLine="700"/>
        <w:jc w:val="left"/>
        <w:rPr>
          <w:rFonts w:ascii="仿宋_GB2312" w:eastAsia="仿宋_GB2312" w:hAnsi="Times New Roman" w:cs="仿宋_GB2312" w:hint="default"/>
          <w:kern w:val="0"/>
          <w:sz w:val="28"/>
          <w:szCs w:val="28"/>
        </w:rPr>
      </w:pPr>
      <w:r>
        <w:rPr>
          <w:rFonts w:ascii="宋体" w:hAnsi="Times New Roman" w:cs="宋体"/>
          <w:kern w:val="0"/>
          <w:sz w:val="28"/>
          <w:szCs w:val="28"/>
        </w:rPr>
        <w:lastRenderedPageBreak/>
        <w:t>十、关于机关运行经费支出说明</w:t>
      </w:r>
    </w:p>
    <w:p w:rsidR="00B87C8A" w:rsidRDefault="002D1C8A">
      <w:pPr>
        <w:autoSpaceDE w:val="0"/>
        <w:autoSpaceDN w:val="0"/>
        <w:adjustRightInd w:val="0"/>
        <w:spacing w:line="500" w:lineRule="exact"/>
        <w:ind w:firstLine="700"/>
        <w:jc w:val="left"/>
        <w:rPr>
          <w:rFonts w:ascii="仿宋_GB2312" w:eastAsia="仿宋_GB2312" w:hAnsi="Times New Roman" w:cs="仿宋_GB2312" w:hint="default"/>
          <w:kern w:val="0"/>
          <w:sz w:val="28"/>
          <w:szCs w:val="28"/>
        </w:rPr>
      </w:pPr>
      <w:r>
        <w:rPr>
          <w:rFonts w:ascii="宋体" w:hAnsi="Times New Roman" w:cs="宋体"/>
          <w:kern w:val="0"/>
          <w:sz w:val="28"/>
          <w:szCs w:val="28"/>
        </w:rPr>
        <w:t>十一、一般性支出情况</w:t>
      </w:r>
    </w:p>
    <w:p w:rsidR="00B87C8A" w:rsidRDefault="002D1C8A">
      <w:pPr>
        <w:autoSpaceDE w:val="0"/>
        <w:autoSpaceDN w:val="0"/>
        <w:adjustRightInd w:val="0"/>
        <w:spacing w:line="500" w:lineRule="exact"/>
        <w:ind w:firstLine="700"/>
        <w:jc w:val="left"/>
        <w:rPr>
          <w:rFonts w:ascii="仿宋_GB2312" w:eastAsia="仿宋_GB2312" w:hAnsi="Times New Roman" w:cs="仿宋_GB2312" w:hint="default"/>
          <w:kern w:val="0"/>
          <w:sz w:val="28"/>
          <w:szCs w:val="28"/>
        </w:rPr>
      </w:pPr>
      <w:r>
        <w:rPr>
          <w:rFonts w:ascii="宋体" w:hAnsi="Times New Roman" w:cs="宋体"/>
          <w:kern w:val="0"/>
          <w:sz w:val="28"/>
          <w:szCs w:val="28"/>
        </w:rPr>
        <w:t>十二、关于政府采购支出说明</w:t>
      </w:r>
    </w:p>
    <w:p w:rsidR="00B87C8A" w:rsidRDefault="002D1C8A">
      <w:pPr>
        <w:autoSpaceDE w:val="0"/>
        <w:autoSpaceDN w:val="0"/>
        <w:adjustRightInd w:val="0"/>
        <w:spacing w:line="500" w:lineRule="exact"/>
        <w:ind w:firstLine="700"/>
        <w:jc w:val="left"/>
        <w:rPr>
          <w:rFonts w:ascii="仿宋_GB2312" w:eastAsia="仿宋_GB2312" w:hAnsi="Times New Roman" w:cs="仿宋_GB2312" w:hint="default"/>
          <w:kern w:val="0"/>
          <w:sz w:val="28"/>
          <w:szCs w:val="28"/>
        </w:rPr>
      </w:pPr>
      <w:r>
        <w:rPr>
          <w:rFonts w:ascii="宋体" w:hAnsi="Times New Roman" w:cs="宋体"/>
          <w:kern w:val="0"/>
          <w:sz w:val="28"/>
          <w:szCs w:val="28"/>
        </w:rPr>
        <w:t>十三、关于国有资产占用情况说明</w:t>
      </w:r>
    </w:p>
    <w:p w:rsidR="00B87C8A" w:rsidRDefault="002D1C8A">
      <w:pPr>
        <w:autoSpaceDE w:val="0"/>
        <w:autoSpaceDN w:val="0"/>
        <w:adjustRightInd w:val="0"/>
        <w:spacing w:line="500" w:lineRule="exact"/>
        <w:ind w:firstLine="700"/>
        <w:jc w:val="left"/>
        <w:rPr>
          <w:rFonts w:ascii="宋体" w:hAnsi="Times New Roman" w:cs="宋体" w:hint="default"/>
          <w:sz w:val="28"/>
          <w:szCs w:val="28"/>
        </w:rPr>
      </w:pPr>
      <w:r>
        <w:rPr>
          <w:rFonts w:ascii="宋体" w:hAnsi="Times New Roman" w:cs="宋体"/>
          <w:kern w:val="0"/>
          <w:sz w:val="28"/>
          <w:szCs w:val="28"/>
        </w:rPr>
        <w:t>十四、关于2021年度预算绩效情况的说明</w:t>
      </w:r>
    </w:p>
    <w:p w:rsidR="00B87C8A" w:rsidRDefault="002D1C8A">
      <w:pPr>
        <w:autoSpaceDE w:val="0"/>
        <w:autoSpaceDN w:val="0"/>
        <w:adjustRightInd w:val="0"/>
        <w:spacing w:line="520" w:lineRule="exact"/>
        <w:jc w:val="left"/>
        <w:rPr>
          <w:rFonts w:ascii="Times New Roman" w:eastAsia="黑体" w:hAnsi="Times New Roman" w:hint="default"/>
          <w:b/>
          <w:kern w:val="0"/>
          <w:sz w:val="28"/>
          <w:szCs w:val="28"/>
        </w:rPr>
      </w:pPr>
      <w:r>
        <w:rPr>
          <w:rFonts w:ascii="黑体" w:eastAsia="黑体" w:hAnsi="Times New Roman" w:cs="黑体"/>
          <w:b/>
          <w:kern w:val="0"/>
          <w:sz w:val="28"/>
          <w:szCs w:val="28"/>
        </w:rPr>
        <w:t>第四部分 名词解释</w:t>
      </w:r>
    </w:p>
    <w:p w:rsidR="00B87C8A" w:rsidRDefault="002D1C8A">
      <w:pPr>
        <w:autoSpaceDE w:val="0"/>
        <w:autoSpaceDN w:val="0"/>
        <w:adjustRightInd w:val="0"/>
        <w:spacing w:line="520" w:lineRule="exact"/>
        <w:jc w:val="left"/>
        <w:rPr>
          <w:rFonts w:ascii="Times New Roman" w:eastAsia="黑体" w:hAnsi="Times New Roman" w:hint="default"/>
          <w:sz w:val="44"/>
          <w:szCs w:val="44"/>
          <w:lang w:val="zh-CN"/>
        </w:rPr>
      </w:pPr>
      <w:r>
        <w:rPr>
          <w:rFonts w:ascii="黑体" w:eastAsia="黑体" w:hAnsi="Times New Roman" w:cs="黑体"/>
          <w:b/>
          <w:kern w:val="0"/>
          <w:sz w:val="28"/>
          <w:szCs w:val="28"/>
        </w:rPr>
        <w:t>第五部分 附件</w:t>
      </w:r>
    </w:p>
    <w:p w:rsidR="00B87C8A" w:rsidRDefault="00B87C8A">
      <w:pPr>
        <w:autoSpaceDE w:val="0"/>
        <w:autoSpaceDN w:val="0"/>
        <w:adjustRightInd w:val="0"/>
        <w:spacing w:line="520" w:lineRule="exact"/>
        <w:jc w:val="left"/>
        <w:rPr>
          <w:rFonts w:ascii="黑体" w:eastAsia="黑体" w:hAnsi="Times New Roman" w:cs="黑体" w:hint="default"/>
          <w:sz w:val="32"/>
          <w:szCs w:val="32"/>
        </w:rPr>
        <w:sectPr w:rsidR="00B87C8A">
          <w:pgSz w:w="12240" w:h="15840"/>
          <w:pgMar w:top="1440" w:right="720" w:bottom="1440" w:left="1800" w:header="720" w:footer="720" w:gutter="0"/>
          <w:cols w:space="720"/>
        </w:sectPr>
      </w:pPr>
    </w:p>
    <w:p w:rsidR="00B87C8A" w:rsidRDefault="00B87C8A">
      <w:pPr>
        <w:autoSpaceDE w:val="0"/>
        <w:autoSpaceDN w:val="0"/>
        <w:adjustRightInd w:val="0"/>
        <w:ind w:firstLine="0"/>
        <w:rPr>
          <w:rFonts w:ascii="黑体" w:eastAsia="黑体" w:hAnsi="Times New Roman" w:cs="黑体" w:hint="default"/>
          <w:sz w:val="96"/>
          <w:szCs w:val="96"/>
        </w:rPr>
      </w:pPr>
    </w:p>
    <w:p w:rsidR="00B87C8A" w:rsidRDefault="00B87C8A">
      <w:pPr>
        <w:autoSpaceDE w:val="0"/>
        <w:autoSpaceDN w:val="0"/>
        <w:adjustRightInd w:val="0"/>
        <w:ind w:firstLine="0"/>
        <w:jc w:val="center"/>
        <w:rPr>
          <w:rFonts w:ascii="黑体" w:eastAsia="黑体" w:hAnsi="Times New Roman" w:cs="黑体" w:hint="default"/>
          <w:sz w:val="96"/>
          <w:szCs w:val="96"/>
        </w:rPr>
      </w:pPr>
    </w:p>
    <w:p w:rsidR="00B87C8A" w:rsidRDefault="00B87C8A">
      <w:pPr>
        <w:autoSpaceDE w:val="0"/>
        <w:autoSpaceDN w:val="0"/>
        <w:adjustRightInd w:val="0"/>
        <w:ind w:firstLine="0"/>
        <w:jc w:val="center"/>
        <w:rPr>
          <w:rFonts w:ascii="黑体" w:eastAsia="黑体" w:hAnsi="Times New Roman" w:cs="黑体" w:hint="default"/>
          <w:sz w:val="84"/>
          <w:szCs w:val="84"/>
        </w:rPr>
      </w:pPr>
    </w:p>
    <w:p w:rsidR="00B87C8A" w:rsidRDefault="00B87C8A">
      <w:pPr>
        <w:autoSpaceDE w:val="0"/>
        <w:autoSpaceDN w:val="0"/>
        <w:adjustRightInd w:val="0"/>
        <w:ind w:firstLine="0"/>
        <w:jc w:val="center"/>
        <w:rPr>
          <w:rFonts w:ascii="黑体" w:eastAsia="黑体" w:hAnsi="Times New Roman" w:cs="黑体" w:hint="default"/>
          <w:sz w:val="56"/>
          <w:szCs w:val="56"/>
        </w:rPr>
      </w:pPr>
    </w:p>
    <w:p w:rsidR="00B87C8A" w:rsidRDefault="002D1C8A">
      <w:pPr>
        <w:autoSpaceDE w:val="0"/>
        <w:autoSpaceDN w:val="0"/>
        <w:adjustRightInd w:val="0"/>
        <w:ind w:firstLine="0"/>
        <w:jc w:val="center"/>
        <w:rPr>
          <w:rFonts w:ascii="Times New Roman" w:eastAsia="黑体" w:hAnsi="Times New Roman" w:hint="default"/>
          <w:sz w:val="84"/>
          <w:szCs w:val="84"/>
          <w:lang w:val="zh-CN"/>
        </w:rPr>
      </w:pPr>
      <w:r>
        <w:rPr>
          <w:rFonts w:ascii="黑体" w:eastAsia="黑体" w:hAnsi="Times New Roman" w:cs="黑体"/>
          <w:sz w:val="84"/>
          <w:szCs w:val="84"/>
        </w:rPr>
        <w:t>第一部分</w:t>
      </w:r>
    </w:p>
    <w:p w:rsidR="00B87C8A" w:rsidRDefault="002D1C8A" w:rsidP="003F0F38">
      <w:pPr>
        <w:autoSpaceDE w:val="0"/>
        <w:autoSpaceDN w:val="0"/>
        <w:adjustRightInd w:val="0"/>
        <w:spacing w:beforeLines="100"/>
        <w:ind w:firstLine="0"/>
        <w:jc w:val="center"/>
        <w:rPr>
          <w:rFonts w:ascii="Times New Roman" w:eastAsia="黑体" w:hAnsi="Times New Roman" w:hint="default"/>
          <w:sz w:val="96"/>
          <w:szCs w:val="96"/>
          <w:lang w:val="zh-CN"/>
        </w:rPr>
      </w:pPr>
      <w:r>
        <w:rPr>
          <w:rFonts w:ascii="黑体" w:eastAsia="黑体" w:hAnsi="Times New Roman" w:cs="黑体"/>
          <w:sz w:val="84"/>
          <w:szCs w:val="84"/>
          <w:lang w:val="zh-CN"/>
        </w:rPr>
        <w:t>吉首大学</w:t>
      </w:r>
      <w:r>
        <w:rPr>
          <w:rFonts w:ascii="黑体" w:eastAsia="黑体" w:hAnsi="Times New Roman" w:cs="黑体"/>
          <w:sz w:val="84"/>
          <w:szCs w:val="84"/>
        </w:rPr>
        <w:t>概况</w:t>
      </w:r>
    </w:p>
    <w:p w:rsidR="00B87C8A" w:rsidRDefault="00B87C8A">
      <w:pPr>
        <w:autoSpaceDE w:val="0"/>
        <w:autoSpaceDN w:val="0"/>
        <w:adjustRightInd w:val="0"/>
        <w:jc w:val="center"/>
        <w:rPr>
          <w:rFonts w:ascii="宋体" w:hAnsi="Times New Roman" w:cs="宋体" w:hint="default"/>
          <w:sz w:val="96"/>
          <w:szCs w:val="96"/>
        </w:rPr>
        <w:sectPr w:rsidR="00B87C8A">
          <w:pgSz w:w="12240" w:h="15840"/>
          <w:pgMar w:top="1440" w:right="720" w:bottom="1440" w:left="1800" w:header="720" w:footer="720" w:gutter="0"/>
          <w:cols w:space="720"/>
        </w:sectPr>
      </w:pPr>
    </w:p>
    <w:p w:rsidR="00B87C8A" w:rsidRDefault="002D1C8A">
      <w:pPr>
        <w:autoSpaceDE w:val="0"/>
        <w:autoSpaceDN w:val="0"/>
        <w:adjustRightInd w:val="0"/>
        <w:spacing w:line="360" w:lineRule="auto"/>
        <w:ind w:firstLineChars="200" w:firstLine="640"/>
        <w:jc w:val="left"/>
        <w:rPr>
          <w:rFonts w:ascii="黑体" w:eastAsia="黑体" w:hAnsi="黑体" w:cs="黑体" w:hint="default"/>
          <w:sz w:val="32"/>
          <w:szCs w:val="32"/>
          <w:lang w:val="zh-CN"/>
        </w:rPr>
      </w:pPr>
      <w:r>
        <w:rPr>
          <w:rFonts w:ascii="黑体" w:eastAsia="黑体" w:hAnsi="黑体" w:cs="黑体"/>
          <w:sz w:val="32"/>
          <w:szCs w:val="32"/>
        </w:rPr>
        <w:lastRenderedPageBreak/>
        <w:t>一、</w:t>
      </w:r>
      <w:r>
        <w:rPr>
          <w:rFonts w:ascii="黑体" w:eastAsia="黑体" w:hAnsi="黑体" w:cs="黑体"/>
          <w:sz w:val="32"/>
          <w:szCs w:val="32"/>
          <w:lang w:val="zh-CN"/>
        </w:rPr>
        <w:t>部门职责</w:t>
      </w:r>
    </w:p>
    <w:p w:rsidR="00B87C8A" w:rsidRDefault="002D1C8A">
      <w:pPr>
        <w:spacing w:line="360" w:lineRule="auto"/>
        <w:ind w:firstLineChars="200" w:firstLine="560"/>
        <w:rPr>
          <w:rFonts w:ascii="宋体" w:hint="default"/>
          <w:sz w:val="28"/>
          <w:szCs w:val="28"/>
        </w:rPr>
      </w:pPr>
      <w:r>
        <w:rPr>
          <w:rFonts w:ascii="宋体" w:hAnsi="宋体" w:cs="宋体"/>
          <w:sz w:val="28"/>
          <w:szCs w:val="28"/>
        </w:rPr>
        <w:t>吉首大学是湖南省属综合性大学，也是武陵山</w:t>
      </w:r>
      <w:r w:rsidR="00803058">
        <w:rPr>
          <w:rFonts w:ascii="宋体" w:hAnsi="宋体" w:cs="宋体"/>
          <w:sz w:val="28"/>
          <w:szCs w:val="28"/>
        </w:rPr>
        <w:t>片区唯一的综合性大学。学校先后成为国家民委与湖南省政府共建高校</w:t>
      </w:r>
      <w:r>
        <w:rPr>
          <w:rFonts w:ascii="宋体" w:hAnsi="宋体" w:cs="宋体"/>
          <w:sz w:val="28"/>
          <w:szCs w:val="28"/>
        </w:rPr>
        <w:t>、博士学位授权单位、湖南省高水平建设大学、湖南省</w:t>
      </w:r>
      <w:r>
        <w:rPr>
          <w:rFonts w:ascii="宋体"/>
          <w:sz w:val="28"/>
          <w:szCs w:val="28"/>
        </w:rPr>
        <w:t>“</w:t>
      </w:r>
      <w:r>
        <w:rPr>
          <w:rFonts w:ascii="宋体" w:hAnsi="宋体" w:cs="宋体"/>
          <w:sz w:val="28"/>
          <w:szCs w:val="28"/>
        </w:rPr>
        <w:t>双一流</w:t>
      </w:r>
      <w:r>
        <w:rPr>
          <w:rFonts w:ascii="宋体"/>
          <w:sz w:val="28"/>
          <w:szCs w:val="28"/>
        </w:rPr>
        <w:t>”</w:t>
      </w:r>
      <w:r>
        <w:rPr>
          <w:rFonts w:ascii="宋体" w:hAnsi="宋体" w:cs="宋体"/>
          <w:sz w:val="28"/>
          <w:szCs w:val="28"/>
        </w:rPr>
        <w:t>建设高校、推荐优秀应届本科毕业生免试攻读硕士学位研究生普通高校。学校积极探索高等教育的办学规律与科学途径，认真履行高等学校在人才培养、科学研究、社会服务和文化传承中的职责使命。进入新时代，吉首大学正在抢抓机遇，提升内涵，努力将学校建成持色鲜明的高水平教学研究型综合性大学</w:t>
      </w:r>
    </w:p>
    <w:p w:rsidR="00B87C8A" w:rsidRDefault="002D1C8A">
      <w:pPr>
        <w:spacing w:line="360" w:lineRule="auto"/>
        <w:ind w:firstLineChars="200" w:firstLine="562"/>
        <w:rPr>
          <w:rFonts w:ascii="宋体" w:hint="default"/>
          <w:b/>
          <w:sz w:val="28"/>
          <w:szCs w:val="28"/>
        </w:rPr>
      </w:pPr>
      <w:r>
        <w:rPr>
          <w:rFonts w:ascii="宋体" w:hAnsi="宋体" w:cs="宋体"/>
          <w:b/>
          <w:sz w:val="28"/>
          <w:szCs w:val="28"/>
        </w:rPr>
        <w:t>（一）人才培养</w:t>
      </w:r>
    </w:p>
    <w:p w:rsidR="00B87C8A" w:rsidRDefault="002D1C8A">
      <w:pPr>
        <w:spacing w:line="360" w:lineRule="auto"/>
        <w:ind w:firstLineChars="200" w:firstLine="560"/>
        <w:rPr>
          <w:rFonts w:ascii="宋体" w:hint="default"/>
          <w:sz w:val="28"/>
          <w:szCs w:val="28"/>
        </w:rPr>
      </w:pPr>
      <w:r>
        <w:rPr>
          <w:rFonts w:ascii="宋体" w:hAnsi="宋体" w:cs="宋体"/>
          <w:sz w:val="28"/>
          <w:szCs w:val="28"/>
        </w:rPr>
        <w:t>学校根据国家政策、社会需要和自身办学条件，自主合理确定办学规模，调整办学结构，科学设置和调整学科、专业。依法招收学生，对学生实施教育和管理。根据办学定位及社会需要等，自主确立人才培养目标和要求，组织实施教育教学活动。学校依法向符合条件的毕业生颁发相应学业证书和学位证书。执行国家学位制度，依法授予学士、硕士、博士学位。并可向为社会发展和人类文明进步做出突出贡献的杰出人士授予名誉博士学位或其他荣誉称号。</w:t>
      </w:r>
    </w:p>
    <w:p w:rsidR="00B87C8A" w:rsidRDefault="002D1C8A">
      <w:pPr>
        <w:pStyle w:val="a6"/>
        <w:spacing w:line="360" w:lineRule="auto"/>
        <w:ind w:firstLineChars="0" w:firstLine="562"/>
        <w:rPr>
          <w:rFonts w:ascii="宋体" w:hint="default"/>
          <w:b/>
          <w:sz w:val="28"/>
          <w:szCs w:val="28"/>
        </w:rPr>
      </w:pPr>
      <w:r>
        <w:rPr>
          <w:rFonts w:ascii="宋体" w:hAnsi="宋体" w:cs="宋体"/>
          <w:b/>
          <w:sz w:val="28"/>
          <w:szCs w:val="28"/>
        </w:rPr>
        <w:t>（二）科学研究</w:t>
      </w:r>
    </w:p>
    <w:p w:rsidR="00B87C8A" w:rsidRDefault="002D1C8A">
      <w:pPr>
        <w:spacing w:line="360" w:lineRule="auto"/>
        <w:ind w:firstLineChars="200" w:firstLine="560"/>
        <w:rPr>
          <w:rFonts w:ascii="宋体" w:hint="default"/>
          <w:sz w:val="28"/>
          <w:szCs w:val="28"/>
        </w:rPr>
      </w:pPr>
      <w:r>
        <w:rPr>
          <w:rFonts w:ascii="宋体" w:hAnsi="宋体" w:cs="宋体"/>
          <w:sz w:val="28"/>
          <w:szCs w:val="28"/>
        </w:rPr>
        <w:t>学校面向学术前沿和社会需求，积极开展科学研究，促进知识创新和技术创新，致力于解决经济社会发展中的理论与实践问题。支持并组织教师、研究人员和学生开展各类科学研究，鼓励自由探索和科研创新，形成自身科研特色与优势，促进良好学术生态与优良学术传统的形成。学校推动科学研究与人才培养、社会服务、文化传承创新工作紧密结合，提高人才培养质量，增强服务社会能力，整体提升办学实力。学校尊重和保障教师、研究人员和学生在教学、研究和学习方面依法享有的学术自由，营造宽松而积极向上的学术环境，建立健全学术评价机</w:t>
      </w:r>
      <w:r>
        <w:rPr>
          <w:rFonts w:ascii="宋体" w:hAnsi="宋体" w:cs="宋体"/>
          <w:sz w:val="28"/>
          <w:szCs w:val="28"/>
        </w:rPr>
        <w:lastRenderedPageBreak/>
        <w:t>制，倡导学术平等，严格学术管理。学校加强学术道德宣传与学术诚信教育，反对和惩处学术不端行为。</w:t>
      </w:r>
    </w:p>
    <w:p w:rsidR="00B87C8A" w:rsidRDefault="002D1C8A">
      <w:pPr>
        <w:pStyle w:val="a6"/>
        <w:spacing w:line="360" w:lineRule="auto"/>
        <w:ind w:firstLineChars="0" w:firstLine="562"/>
        <w:rPr>
          <w:rFonts w:ascii="宋体" w:hint="default"/>
          <w:b/>
          <w:sz w:val="28"/>
          <w:szCs w:val="28"/>
        </w:rPr>
      </w:pPr>
      <w:r>
        <w:rPr>
          <w:rFonts w:ascii="宋体" w:hAnsi="宋体" w:cs="宋体"/>
          <w:b/>
          <w:sz w:val="28"/>
          <w:szCs w:val="28"/>
        </w:rPr>
        <w:t>（三）社会服务</w:t>
      </w:r>
    </w:p>
    <w:p w:rsidR="00B87C8A" w:rsidRDefault="002D1C8A">
      <w:pPr>
        <w:pStyle w:val="a6"/>
        <w:spacing w:line="360" w:lineRule="auto"/>
        <w:ind w:firstLine="560"/>
        <w:rPr>
          <w:rFonts w:ascii="宋体" w:hint="default"/>
          <w:sz w:val="28"/>
          <w:szCs w:val="28"/>
        </w:rPr>
      </w:pPr>
      <w:r>
        <w:rPr>
          <w:rFonts w:ascii="宋体" w:hAnsi="宋体" w:cs="宋体"/>
          <w:sz w:val="28"/>
          <w:szCs w:val="28"/>
        </w:rPr>
        <w:t>学校以人才培养和科学研究成果服务社会，积极为地方和国家经济社会发展提供人才与智力支持。学校树立主动服务社会意识，构建开放包容、合作共享的社会服务机制，构筑社会服务平台，提高对地方和国家经济社会发展的贡献度。学校利用人才优势充分发挥智囊团、思想库作用，为地方和国家经济社会发展提供决策咨询服务。学校建立健全档案、资料、信息、设施、设备等资源开放机制，面向社会提供资源共享服务。学校鼓励师生员工开展社区服务和志愿服务。</w:t>
      </w:r>
    </w:p>
    <w:p w:rsidR="00B87C8A" w:rsidRDefault="002D1C8A">
      <w:pPr>
        <w:pStyle w:val="a6"/>
        <w:spacing w:line="360" w:lineRule="auto"/>
        <w:ind w:firstLineChars="0" w:firstLine="562"/>
        <w:rPr>
          <w:rFonts w:ascii="宋体" w:hint="default"/>
          <w:b/>
          <w:sz w:val="28"/>
          <w:szCs w:val="28"/>
        </w:rPr>
      </w:pPr>
      <w:r>
        <w:rPr>
          <w:rFonts w:ascii="宋体" w:hAnsi="宋体" w:cs="宋体"/>
          <w:b/>
          <w:sz w:val="28"/>
          <w:szCs w:val="28"/>
        </w:rPr>
        <w:t>（四）文化传承与创新</w:t>
      </w:r>
    </w:p>
    <w:p w:rsidR="00B87C8A" w:rsidRDefault="002D1C8A">
      <w:pPr>
        <w:pStyle w:val="a6"/>
        <w:spacing w:line="360" w:lineRule="auto"/>
        <w:ind w:firstLine="560"/>
        <w:rPr>
          <w:rFonts w:ascii="宋体" w:hint="default"/>
          <w:sz w:val="28"/>
          <w:szCs w:val="28"/>
        </w:rPr>
      </w:pPr>
      <w:r>
        <w:rPr>
          <w:rFonts w:ascii="宋体" w:hAnsi="宋体" w:cs="宋体"/>
          <w:sz w:val="28"/>
          <w:szCs w:val="28"/>
        </w:rPr>
        <w:t>学校致力于优秀传统文化的传承与创新，促进民族优秀文化与世界先进文明交流融汇，并致力于地方民族优秀传统文化的发掘、整理、研究和传播，丰富中华民族文化宝库，发挥学校文化研究、示范与辐射功能，引领区域文化发展，促进各民族间文化交流与文化繁荣。学校坚持立德树人，以文化人，推进大学文化和大学精神建设，构建良好文化氛围，增强办学活力。</w:t>
      </w:r>
    </w:p>
    <w:p w:rsidR="00B87C8A" w:rsidRDefault="002D1C8A">
      <w:pPr>
        <w:pStyle w:val="a6"/>
        <w:spacing w:line="360" w:lineRule="auto"/>
        <w:ind w:firstLine="640"/>
        <w:rPr>
          <w:rFonts w:ascii="黑体" w:eastAsia="黑体" w:hAnsi="黑体" w:cs="黑体" w:hint="default"/>
          <w:sz w:val="32"/>
          <w:szCs w:val="32"/>
        </w:rPr>
      </w:pPr>
      <w:r>
        <w:rPr>
          <w:rFonts w:ascii="黑体" w:eastAsia="黑体" w:hAnsi="黑体" w:cs="黑体"/>
          <w:sz w:val="32"/>
          <w:szCs w:val="32"/>
        </w:rPr>
        <w:t>二、机构设置</w:t>
      </w:r>
      <w:r>
        <w:rPr>
          <w:rFonts w:ascii="黑体" w:eastAsia="黑体" w:hAnsi="黑体" w:cs="黑体"/>
          <w:sz w:val="32"/>
          <w:szCs w:val="32"/>
          <w:lang w:val="zh-CN"/>
        </w:rPr>
        <w:t>及</w:t>
      </w:r>
      <w:r>
        <w:rPr>
          <w:rFonts w:ascii="黑体" w:eastAsia="黑体" w:hAnsi="黑体" w:cs="黑体"/>
          <w:sz w:val="32"/>
          <w:szCs w:val="32"/>
        </w:rPr>
        <w:t>决算单位构成</w:t>
      </w:r>
    </w:p>
    <w:p w:rsidR="00B87C8A" w:rsidRDefault="002D1C8A">
      <w:pPr>
        <w:widowControl/>
        <w:spacing w:line="360" w:lineRule="auto"/>
        <w:ind w:firstLineChars="200" w:firstLine="562"/>
        <w:rPr>
          <w:rFonts w:ascii="宋体" w:hint="default"/>
          <w:kern w:val="0"/>
          <w:sz w:val="28"/>
          <w:szCs w:val="28"/>
        </w:rPr>
      </w:pPr>
      <w:r>
        <w:rPr>
          <w:rFonts w:ascii="宋体" w:hAnsi="宋体" w:cs="宋体"/>
          <w:b/>
          <w:kern w:val="0"/>
          <w:sz w:val="28"/>
          <w:szCs w:val="28"/>
        </w:rPr>
        <w:t>（一）内设机构设置。</w:t>
      </w:r>
      <w:r>
        <w:rPr>
          <w:rFonts w:ascii="宋体" w:hAnsi="宋体" w:cs="宋体"/>
          <w:kern w:val="0"/>
          <w:sz w:val="28"/>
          <w:szCs w:val="28"/>
        </w:rPr>
        <w:t>1、党政管理机构：党委办公室/校长办公室、党委组织部/党校、党委宣传部、党委统战部、学生工作部/武装部/学生工作处、离退休工作部/离退休工作处、发展规划与学科建设处/省部共建工作办公室、教务处、科技处、社会科学处、招生就业处、人事处、研究生处/研究生工作部、财务处、保卫处、审计处、后勤管理处、资产管理处、张家界校区办公室、张家界校区后勤与保卫处</w:t>
      </w:r>
    </w:p>
    <w:p w:rsidR="00B87C8A" w:rsidRDefault="002D1C8A">
      <w:pPr>
        <w:widowControl/>
        <w:spacing w:line="360" w:lineRule="auto"/>
        <w:ind w:firstLineChars="200" w:firstLine="560"/>
        <w:rPr>
          <w:rFonts w:ascii="宋体" w:cs="仿宋" w:hint="default"/>
          <w:kern w:val="0"/>
          <w:sz w:val="28"/>
          <w:szCs w:val="28"/>
        </w:rPr>
      </w:pPr>
      <w:r>
        <w:rPr>
          <w:rFonts w:ascii="宋体" w:hAnsi="宋体" w:cs="宋体"/>
          <w:kern w:val="0"/>
          <w:sz w:val="28"/>
          <w:szCs w:val="28"/>
        </w:rPr>
        <w:t>2、纪检监察机构：纪委办公室/监察室</w:t>
      </w:r>
    </w:p>
    <w:p w:rsidR="00B87C8A" w:rsidRDefault="002D1C8A">
      <w:pPr>
        <w:widowControl/>
        <w:spacing w:line="360" w:lineRule="auto"/>
        <w:ind w:firstLineChars="200" w:firstLine="560"/>
        <w:rPr>
          <w:rFonts w:ascii="宋体" w:cs="仿宋" w:hint="default"/>
          <w:kern w:val="0"/>
          <w:sz w:val="28"/>
          <w:szCs w:val="28"/>
        </w:rPr>
      </w:pPr>
      <w:r>
        <w:rPr>
          <w:rFonts w:ascii="宋体" w:hAnsi="宋体" w:cs="宋体"/>
          <w:kern w:val="0"/>
          <w:sz w:val="28"/>
          <w:szCs w:val="28"/>
        </w:rPr>
        <w:lastRenderedPageBreak/>
        <w:t>3、群团组织：校工会、校团委</w:t>
      </w:r>
    </w:p>
    <w:p w:rsidR="00B87C8A" w:rsidRDefault="002D1C8A">
      <w:pPr>
        <w:widowControl/>
        <w:spacing w:line="360" w:lineRule="auto"/>
        <w:ind w:firstLineChars="200" w:firstLine="560"/>
        <w:rPr>
          <w:rFonts w:ascii="宋体" w:cs="仿宋" w:hint="default"/>
          <w:kern w:val="0"/>
          <w:sz w:val="28"/>
          <w:szCs w:val="28"/>
        </w:rPr>
      </w:pPr>
      <w:r>
        <w:rPr>
          <w:rFonts w:ascii="宋体" w:hAnsi="宋体" w:cs="宋体"/>
          <w:kern w:val="0"/>
          <w:sz w:val="28"/>
          <w:szCs w:val="28"/>
        </w:rPr>
        <w:t>4、学院系部：马克思主义学院、文学与新闻传播学院、历史与文化学院、法学与公共管理学院、外国语学院、国际教育学院、商学院、旅游与管理工程学院、数学与统计学院、物理与机电工程学院、化学化工学院、生物资源与环境科学学院、信息科学与工程学院、软件学院、土木工程与建筑学院、医学院、体育科学学院、音乐舞蹈学院、美术学院、国防教育学院、少数民族预科教育学院、继续教育学院、哲学研究所、林产化工实验室、杜仲实验室</w:t>
      </w:r>
    </w:p>
    <w:p w:rsidR="00B87C8A" w:rsidRDefault="002D1C8A">
      <w:pPr>
        <w:widowControl/>
        <w:spacing w:line="360" w:lineRule="auto"/>
        <w:ind w:firstLineChars="200" w:firstLine="560"/>
        <w:rPr>
          <w:rFonts w:ascii="宋体" w:cs="仿宋" w:hint="default"/>
          <w:kern w:val="0"/>
          <w:sz w:val="28"/>
          <w:szCs w:val="28"/>
        </w:rPr>
      </w:pPr>
      <w:r>
        <w:rPr>
          <w:rFonts w:ascii="宋体" w:hAnsi="宋体" w:cs="宋体"/>
          <w:kern w:val="0"/>
          <w:sz w:val="28"/>
          <w:szCs w:val="28"/>
        </w:rPr>
        <w:t>5、校辅与直属单位：图书馆、信息化办公室/信息网络中心、实验室与设备管理中心、征地与基建办公室、学报编辑部、教学质量监控与评估中心/教师发展中心/教育科学研究院、采购与招投标管理中心、校友工作办公室、</w:t>
      </w:r>
      <w:r>
        <w:rPr>
          <w:rFonts w:ascii="宋体" w:hAnsi="宋体" w:cs="宋体"/>
          <w:sz w:val="28"/>
          <w:szCs w:val="28"/>
        </w:rPr>
        <w:t>国际合作与交流中心</w:t>
      </w:r>
      <w:r>
        <w:rPr>
          <w:rFonts w:ascii="宋体" w:hAnsi="宋体" w:cs="宋体"/>
          <w:kern w:val="0"/>
          <w:sz w:val="28"/>
          <w:szCs w:val="28"/>
        </w:rPr>
        <w:t>/</w:t>
      </w:r>
      <w:r>
        <w:rPr>
          <w:rFonts w:ascii="宋体" w:hAnsi="宋体" w:cs="宋体"/>
          <w:sz w:val="28"/>
          <w:szCs w:val="28"/>
        </w:rPr>
        <w:t>港澳台事务办公室、</w:t>
      </w:r>
      <w:r>
        <w:rPr>
          <w:rFonts w:ascii="宋体" w:hAnsi="宋体" w:cs="宋体"/>
          <w:kern w:val="0"/>
          <w:sz w:val="28"/>
          <w:szCs w:val="28"/>
        </w:rPr>
        <w:t>文化教育场馆管理中心/档案馆、校地合作办公室/武陵山区发展研究院、资产经营公司</w:t>
      </w:r>
    </w:p>
    <w:p w:rsidR="00B87C8A" w:rsidRDefault="002D1C8A">
      <w:pPr>
        <w:widowControl/>
        <w:spacing w:line="360" w:lineRule="auto"/>
        <w:ind w:firstLineChars="200" w:firstLine="560"/>
        <w:rPr>
          <w:rFonts w:ascii="宋体" w:hint="default"/>
          <w:kern w:val="0"/>
          <w:sz w:val="32"/>
          <w:szCs w:val="32"/>
        </w:rPr>
      </w:pPr>
      <w:r>
        <w:rPr>
          <w:rFonts w:ascii="宋体" w:hAnsi="宋体" w:cs="宋体"/>
          <w:kern w:val="0"/>
          <w:sz w:val="28"/>
          <w:szCs w:val="28"/>
        </w:rPr>
        <w:t>6、张家界校区派出机构：张家界校区教学科研管理办公室、张家界校区学生工作办公室/张家界校区团工委</w:t>
      </w:r>
    </w:p>
    <w:p w:rsidR="00B87C8A" w:rsidRDefault="002D1C8A">
      <w:pPr>
        <w:widowControl/>
        <w:spacing w:line="360" w:lineRule="auto"/>
        <w:ind w:firstLineChars="200" w:firstLine="562"/>
        <w:rPr>
          <w:rFonts w:ascii="宋体" w:hint="default"/>
          <w:kern w:val="0"/>
          <w:sz w:val="32"/>
          <w:szCs w:val="32"/>
        </w:rPr>
      </w:pPr>
      <w:r>
        <w:rPr>
          <w:rFonts w:ascii="宋体" w:hAnsi="宋体" w:cs="宋体"/>
          <w:b/>
          <w:kern w:val="0"/>
          <w:sz w:val="28"/>
          <w:szCs w:val="28"/>
        </w:rPr>
        <w:t>（二）决算单位构成。</w:t>
      </w:r>
      <w:r>
        <w:rPr>
          <w:rFonts w:ascii="宋体" w:hAnsi="宋体" w:cs="宋体"/>
          <w:kern w:val="0"/>
          <w:sz w:val="28"/>
          <w:szCs w:val="28"/>
        </w:rPr>
        <w:t>吉首大学部门决算报表公开单位构成包括： 吉首大学校本部，不含吉首大学师范学院和吉首大学张家界学院。</w:t>
      </w:r>
    </w:p>
    <w:p w:rsidR="00B87C8A" w:rsidRDefault="00B87C8A">
      <w:pPr>
        <w:widowControl/>
        <w:spacing w:line="600" w:lineRule="exact"/>
        <w:rPr>
          <w:rFonts w:ascii="黑体" w:eastAsia="黑体" w:hAnsi="Times New Roman" w:cs="黑体" w:hint="default"/>
          <w:sz w:val="32"/>
          <w:szCs w:val="32"/>
        </w:rPr>
      </w:pPr>
    </w:p>
    <w:p w:rsidR="00B87C8A" w:rsidRDefault="00B87C8A">
      <w:pPr>
        <w:widowControl/>
        <w:spacing w:line="600" w:lineRule="exact"/>
        <w:ind w:firstLine="0"/>
        <w:jc w:val="center"/>
        <w:rPr>
          <w:rFonts w:ascii="黑体" w:eastAsia="黑体" w:hAnsi="Times New Roman" w:cs="黑体" w:hint="default"/>
          <w:sz w:val="32"/>
          <w:szCs w:val="32"/>
        </w:rPr>
      </w:pPr>
    </w:p>
    <w:p w:rsidR="00B87C8A" w:rsidRDefault="00B87C8A">
      <w:pPr>
        <w:widowControl/>
        <w:spacing w:line="600" w:lineRule="exact"/>
        <w:ind w:firstLine="0"/>
        <w:jc w:val="center"/>
        <w:rPr>
          <w:rFonts w:ascii="黑体" w:eastAsia="黑体" w:hAnsi="Times New Roman" w:cs="黑体" w:hint="default"/>
          <w:sz w:val="32"/>
          <w:szCs w:val="32"/>
        </w:rPr>
      </w:pPr>
    </w:p>
    <w:p w:rsidR="00B87C8A" w:rsidRDefault="00B87C8A">
      <w:pPr>
        <w:widowControl/>
        <w:spacing w:line="600" w:lineRule="exact"/>
        <w:ind w:firstLine="0"/>
        <w:jc w:val="center"/>
        <w:rPr>
          <w:rFonts w:ascii="黑体" w:eastAsia="黑体" w:hAnsi="Times New Roman" w:cs="黑体" w:hint="default"/>
          <w:sz w:val="32"/>
          <w:szCs w:val="32"/>
        </w:rPr>
      </w:pPr>
    </w:p>
    <w:p w:rsidR="00B87C8A" w:rsidRDefault="00B87C8A">
      <w:pPr>
        <w:widowControl/>
        <w:spacing w:line="600" w:lineRule="exact"/>
        <w:ind w:firstLine="0"/>
        <w:jc w:val="center"/>
        <w:rPr>
          <w:rFonts w:ascii="黑体" w:eastAsia="黑体" w:hAnsi="Times New Roman" w:cs="黑体" w:hint="default"/>
          <w:sz w:val="32"/>
          <w:szCs w:val="32"/>
        </w:rPr>
      </w:pPr>
    </w:p>
    <w:p w:rsidR="00B87C8A" w:rsidRDefault="00B87C8A">
      <w:pPr>
        <w:widowControl/>
        <w:spacing w:line="600" w:lineRule="exact"/>
        <w:ind w:firstLine="0"/>
        <w:jc w:val="center"/>
        <w:rPr>
          <w:rFonts w:ascii="黑体" w:eastAsia="黑体" w:hAnsi="Times New Roman" w:cs="黑体" w:hint="default"/>
          <w:sz w:val="32"/>
          <w:szCs w:val="32"/>
        </w:rPr>
      </w:pPr>
    </w:p>
    <w:p w:rsidR="00B87C8A" w:rsidRDefault="00B87C8A">
      <w:pPr>
        <w:widowControl/>
        <w:spacing w:line="600" w:lineRule="exact"/>
        <w:ind w:firstLine="0"/>
        <w:jc w:val="center"/>
        <w:rPr>
          <w:rFonts w:ascii="黑体" w:eastAsia="黑体" w:hAnsi="Times New Roman" w:cs="黑体" w:hint="default"/>
          <w:sz w:val="32"/>
          <w:szCs w:val="32"/>
        </w:rPr>
      </w:pPr>
    </w:p>
    <w:p w:rsidR="00B87C8A" w:rsidRDefault="00B87C8A">
      <w:pPr>
        <w:autoSpaceDE w:val="0"/>
        <w:autoSpaceDN w:val="0"/>
        <w:adjustRightInd w:val="0"/>
        <w:ind w:firstLine="0"/>
        <w:jc w:val="center"/>
        <w:rPr>
          <w:rFonts w:ascii="黑体" w:eastAsia="黑体" w:hAnsi="Times New Roman" w:cs="黑体" w:hint="default"/>
          <w:sz w:val="96"/>
          <w:szCs w:val="96"/>
        </w:rPr>
      </w:pPr>
    </w:p>
    <w:p w:rsidR="00B87C8A" w:rsidRDefault="00B87C8A">
      <w:pPr>
        <w:autoSpaceDE w:val="0"/>
        <w:autoSpaceDN w:val="0"/>
        <w:adjustRightInd w:val="0"/>
        <w:ind w:firstLine="0"/>
        <w:jc w:val="center"/>
        <w:rPr>
          <w:rFonts w:ascii="黑体" w:eastAsia="黑体" w:hAnsi="Times New Roman" w:cs="黑体" w:hint="default"/>
          <w:sz w:val="96"/>
          <w:szCs w:val="96"/>
        </w:rPr>
      </w:pPr>
    </w:p>
    <w:p w:rsidR="00B87C8A" w:rsidRDefault="00B87C8A" w:rsidP="003F0F38">
      <w:pPr>
        <w:autoSpaceDE w:val="0"/>
        <w:autoSpaceDN w:val="0"/>
        <w:adjustRightInd w:val="0"/>
        <w:spacing w:afterLines="50"/>
        <w:ind w:firstLine="0"/>
        <w:jc w:val="center"/>
        <w:rPr>
          <w:rFonts w:ascii="黑体" w:eastAsia="黑体" w:hAnsi="Times New Roman" w:cs="黑体" w:hint="default"/>
          <w:sz w:val="48"/>
          <w:szCs w:val="48"/>
        </w:rPr>
      </w:pPr>
    </w:p>
    <w:p w:rsidR="00B87C8A" w:rsidRDefault="00B87C8A" w:rsidP="003F0F38">
      <w:pPr>
        <w:autoSpaceDE w:val="0"/>
        <w:autoSpaceDN w:val="0"/>
        <w:adjustRightInd w:val="0"/>
        <w:spacing w:afterLines="50"/>
        <w:ind w:firstLine="0"/>
        <w:jc w:val="center"/>
        <w:rPr>
          <w:rFonts w:ascii="黑体" w:eastAsia="黑体" w:hAnsi="Times New Roman" w:cs="黑体" w:hint="default"/>
          <w:sz w:val="84"/>
          <w:szCs w:val="84"/>
        </w:rPr>
      </w:pPr>
    </w:p>
    <w:p w:rsidR="00B87C8A" w:rsidRDefault="002D1C8A" w:rsidP="003F0F38">
      <w:pPr>
        <w:autoSpaceDE w:val="0"/>
        <w:autoSpaceDN w:val="0"/>
        <w:adjustRightInd w:val="0"/>
        <w:spacing w:afterLines="50"/>
        <w:ind w:firstLine="0"/>
        <w:jc w:val="center"/>
        <w:rPr>
          <w:rFonts w:ascii="黑体" w:eastAsia="黑体" w:hAnsi="Times New Roman" w:cs="黑体" w:hint="default"/>
          <w:sz w:val="84"/>
          <w:szCs w:val="84"/>
        </w:rPr>
      </w:pPr>
      <w:r>
        <w:rPr>
          <w:rFonts w:ascii="黑体" w:eastAsia="黑体" w:hAnsi="Times New Roman" w:cs="黑体"/>
          <w:sz w:val="84"/>
          <w:szCs w:val="84"/>
        </w:rPr>
        <w:t>第二部分</w:t>
      </w:r>
    </w:p>
    <w:p w:rsidR="00B87C8A" w:rsidRDefault="002D1C8A" w:rsidP="003F0F38">
      <w:pPr>
        <w:autoSpaceDE w:val="0"/>
        <w:autoSpaceDN w:val="0"/>
        <w:adjustRightInd w:val="0"/>
        <w:spacing w:beforeLines="100"/>
        <w:ind w:firstLine="0"/>
        <w:jc w:val="center"/>
        <w:rPr>
          <w:rFonts w:ascii="黑体" w:eastAsia="黑体" w:hAnsi="Times New Roman" w:cs="黑体" w:hint="default"/>
          <w:sz w:val="96"/>
          <w:szCs w:val="96"/>
          <w:lang w:val="zh-CN"/>
        </w:rPr>
        <w:sectPr w:rsidR="00B87C8A">
          <w:pgSz w:w="12240" w:h="15840"/>
          <w:pgMar w:top="1440" w:right="720" w:bottom="1440" w:left="1800" w:header="720" w:footer="720" w:gutter="0"/>
          <w:cols w:space="720"/>
        </w:sectPr>
      </w:pPr>
      <w:r>
        <w:rPr>
          <w:rFonts w:ascii="黑体" w:eastAsia="黑体" w:hAnsi="Times New Roman" w:cs="黑体"/>
          <w:sz w:val="84"/>
          <w:szCs w:val="84"/>
          <w:lang w:val="zh-CN"/>
        </w:rPr>
        <w:t>吉首大学2021年度部门决算表</w:t>
      </w:r>
    </w:p>
    <w:tbl>
      <w:tblPr>
        <w:tblW w:w="15224" w:type="dxa"/>
        <w:tblInd w:w="96" w:type="dxa"/>
        <w:tblLayout w:type="fixed"/>
        <w:tblLook w:val="04A0"/>
      </w:tblPr>
      <w:tblGrid>
        <w:gridCol w:w="3896"/>
        <w:gridCol w:w="1656"/>
        <w:gridCol w:w="1872"/>
        <w:gridCol w:w="3984"/>
        <w:gridCol w:w="1872"/>
        <w:gridCol w:w="1944"/>
      </w:tblGrid>
      <w:tr w:rsidR="00B87C8A">
        <w:trPr>
          <w:trHeight w:val="384"/>
        </w:trPr>
        <w:tc>
          <w:tcPr>
            <w:tcW w:w="15224" w:type="dxa"/>
            <w:gridSpan w:val="6"/>
            <w:tcBorders>
              <w:top w:val="nil"/>
              <w:left w:val="nil"/>
              <w:bottom w:val="nil"/>
              <w:right w:val="nil"/>
              <w:tl2br w:val="nil"/>
              <w:tr2bl w:val="nil"/>
            </w:tcBorders>
            <w:noWrap/>
            <w:vAlign w:val="bottom"/>
          </w:tcPr>
          <w:p w:rsidR="00B87C8A" w:rsidRDefault="002D1C8A">
            <w:pPr>
              <w:widowControl/>
              <w:ind w:firstLine="0"/>
              <w:jc w:val="center"/>
              <w:textAlignment w:val="bottom"/>
              <w:rPr>
                <w:rFonts w:ascii="宋体" w:hAnsi="宋体" w:cs="宋体" w:hint="default"/>
                <w:color w:val="000000"/>
                <w:sz w:val="30"/>
                <w:szCs w:val="30"/>
              </w:rPr>
            </w:pPr>
            <w:r>
              <w:rPr>
                <w:rFonts w:ascii="宋体" w:hAnsi="宋体" w:cs="宋体"/>
                <w:color w:val="000000"/>
                <w:kern w:val="0"/>
                <w:sz w:val="30"/>
                <w:szCs w:val="30"/>
              </w:rPr>
              <w:lastRenderedPageBreak/>
              <w:t>一、收入支出决算总表</w:t>
            </w:r>
          </w:p>
        </w:tc>
      </w:tr>
      <w:tr w:rsidR="00B87C8A">
        <w:trPr>
          <w:trHeight w:val="264"/>
        </w:trPr>
        <w:tc>
          <w:tcPr>
            <w:tcW w:w="3896"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1656"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1872"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3984"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1872"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1944" w:type="dxa"/>
            <w:tcBorders>
              <w:top w:val="nil"/>
              <w:left w:val="nil"/>
              <w:bottom w:val="nil"/>
              <w:right w:val="nil"/>
              <w:tl2br w:val="nil"/>
              <w:tr2bl w:val="nil"/>
            </w:tcBorders>
            <w:noWrap/>
            <w:vAlign w:val="bottom"/>
          </w:tcPr>
          <w:p w:rsidR="00B87C8A" w:rsidRDefault="002D1C8A">
            <w:pPr>
              <w:widowControl/>
              <w:jc w:val="right"/>
              <w:textAlignment w:val="bottom"/>
              <w:rPr>
                <w:rFonts w:ascii="宋体" w:hAnsi="宋体" w:cs="宋体" w:hint="default"/>
                <w:color w:val="000000"/>
                <w:sz w:val="20"/>
                <w:szCs w:val="20"/>
              </w:rPr>
            </w:pPr>
            <w:r>
              <w:rPr>
                <w:rFonts w:ascii="宋体" w:hAnsi="宋体" w:cs="宋体"/>
                <w:color w:val="000000"/>
                <w:kern w:val="0"/>
                <w:sz w:val="20"/>
                <w:szCs w:val="20"/>
              </w:rPr>
              <w:t>公开01表</w:t>
            </w:r>
          </w:p>
        </w:tc>
      </w:tr>
      <w:tr w:rsidR="00B87C8A">
        <w:trPr>
          <w:trHeight w:val="264"/>
        </w:trPr>
        <w:tc>
          <w:tcPr>
            <w:tcW w:w="3896" w:type="dxa"/>
            <w:tcBorders>
              <w:top w:val="nil"/>
              <w:left w:val="nil"/>
              <w:bottom w:val="nil"/>
              <w:right w:val="nil"/>
              <w:tl2br w:val="nil"/>
              <w:tr2bl w:val="nil"/>
            </w:tcBorders>
            <w:noWrap/>
            <w:vAlign w:val="bottom"/>
          </w:tcPr>
          <w:p w:rsidR="00B87C8A" w:rsidRPr="00B237E9" w:rsidRDefault="002D1C8A">
            <w:pPr>
              <w:widowControl/>
              <w:ind w:firstLine="0"/>
              <w:jc w:val="left"/>
              <w:textAlignment w:val="bottom"/>
              <w:rPr>
                <w:rFonts w:ascii="宋体" w:hAnsi="宋体" w:cs="宋体" w:hint="default"/>
                <w:color w:val="000000"/>
                <w:sz w:val="20"/>
                <w:szCs w:val="20"/>
              </w:rPr>
            </w:pPr>
            <w:r w:rsidRPr="00B237E9">
              <w:rPr>
                <w:rFonts w:ascii="宋体" w:hAnsi="宋体" w:cs="宋体"/>
                <w:color w:val="000000"/>
                <w:kern w:val="0"/>
                <w:sz w:val="20"/>
                <w:szCs w:val="20"/>
              </w:rPr>
              <w:t>部门：吉首大学</w:t>
            </w:r>
          </w:p>
        </w:tc>
        <w:tc>
          <w:tcPr>
            <w:tcW w:w="1656" w:type="dxa"/>
            <w:tcBorders>
              <w:top w:val="nil"/>
              <w:left w:val="nil"/>
              <w:bottom w:val="nil"/>
              <w:right w:val="nil"/>
              <w:tl2br w:val="nil"/>
              <w:tr2bl w:val="nil"/>
            </w:tcBorders>
            <w:noWrap/>
            <w:vAlign w:val="bottom"/>
          </w:tcPr>
          <w:p w:rsidR="00B87C8A" w:rsidRPr="00B237E9" w:rsidRDefault="00B87C8A">
            <w:pPr>
              <w:rPr>
                <w:rFonts w:ascii="Arial" w:hAnsi="Arial" w:cs="Arial" w:hint="default"/>
                <w:color w:val="000000"/>
                <w:sz w:val="20"/>
                <w:szCs w:val="20"/>
              </w:rPr>
            </w:pPr>
          </w:p>
        </w:tc>
        <w:tc>
          <w:tcPr>
            <w:tcW w:w="1872" w:type="dxa"/>
            <w:tcBorders>
              <w:top w:val="nil"/>
              <w:left w:val="nil"/>
              <w:bottom w:val="nil"/>
              <w:right w:val="nil"/>
              <w:tl2br w:val="nil"/>
              <w:tr2bl w:val="nil"/>
            </w:tcBorders>
            <w:noWrap/>
            <w:vAlign w:val="bottom"/>
          </w:tcPr>
          <w:p w:rsidR="00B87C8A" w:rsidRPr="00B237E9" w:rsidRDefault="00B87C8A">
            <w:pPr>
              <w:rPr>
                <w:rFonts w:ascii="Arial" w:hAnsi="Arial" w:cs="Arial" w:hint="default"/>
                <w:color w:val="000000"/>
                <w:sz w:val="20"/>
                <w:szCs w:val="20"/>
              </w:rPr>
            </w:pPr>
          </w:p>
        </w:tc>
        <w:tc>
          <w:tcPr>
            <w:tcW w:w="3984" w:type="dxa"/>
            <w:tcBorders>
              <w:top w:val="nil"/>
              <w:left w:val="nil"/>
              <w:bottom w:val="nil"/>
              <w:right w:val="nil"/>
              <w:tl2br w:val="nil"/>
              <w:tr2bl w:val="nil"/>
            </w:tcBorders>
            <w:noWrap/>
            <w:vAlign w:val="bottom"/>
          </w:tcPr>
          <w:p w:rsidR="00B87C8A" w:rsidRPr="00B237E9" w:rsidRDefault="00B87C8A">
            <w:pPr>
              <w:rPr>
                <w:rFonts w:ascii="Arial" w:hAnsi="Arial" w:cs="Arial" w:hint="default"/>
                <w:color w:val="000000"/>
                <w:sz w:val="20"/>
                <w:szCs w:val="20"/>
              </w:rPr>
            </w:pPr>
          </w:p>
        </w:tc>
        <w:tc>
          <w:tcPr>
            <w:tcW w:w="1872" w:type="dxa"/>
            <w:tcBorders>
              <w:top w:val="nil"/>
              <w:left w:val="nil"/>
              <w:bottom w:val="nil"/>
              <w:right w:val="nil"/>
              <w:tl2br w:val="nil"/>
              <w:tr2bl w:val="nil"/>
            </w:tcBorders>
            <w:noWrap/>
            <w:vAlign w:val="bottom"/>
          </w:tcPr>
          <w:p w:rsidR="00B87C8A" w:rsidRPr="00B237E9" w:rsidRDefault="00B87C8A">
            <w:pPr>
              <w:rPr>
                <w:rFonts w:ascii="Arial" w:hAnsi="Arial" w:cs="Arial" w:hint="default"/>
                <w:color w:val="000000"/>
                <w:sz w:val="20"/>
                <w:szCs w:val="20"/>
              </w:rPr>
            </w:pPr>
          </w:p>
        </w:tc>
        <w:tc>
          <w:tcPr>
            <w:tcW w:w="1944" w:type="dxa"/>
            <w:tcBorders>
              <w:top w:val="nil"/>
              <w:left w:val="nil"/>
              <w:bottom w:val="nil"/>
              <w:right w:val="nil"/>
              <w:tl2br w:val="nil"/>
              <w:tr2bl w:val="nil"/>
            </w:tcBorders>
            <w:noWrap/>
            <w:vAlign w:val="bottom"/>
          </w:tcPr>
          <w:p w:rsidR="00B87C8A" w:rsidRPr="00B237E9" w:rsidRDefault="002D1C8A">
            <w:pPr>
              <w:widowControl/>
              <w:ind w:firstLine="0"/>
              <w:jc w:val="right"/>
              <w:textAlignment w:val="bottom"/>
              <w:rPr>
                <w:rFonts w:ascii="宋体" w:hAnsi="宋体" w:cs="宋体" w:hint="default"/>
                <w:color w:val="000000"/>
                <w:sz w:val="20"/>
                <w:szCs w:val="20"/>
              </w:rPr>
            </w:pPr>
            <w:r w:rsidRPr="00B237E9">
              <w:rPr>
                <w:rFonts w:ascii="宋体" w:hAnsi="宋体" w:cs="宋体"/>
                <w:color w:val="000000"/>
                <w:kern w:val="0"/>
                <w:sz w:val="20"/>
                <w:szCs w:val="20"/>
              </w:rPr>
              <w:t>金额单位：万元</w:t>
            </w:r>
          </w:p>
        </w:tc>
      </w:tr>
      <w:tr w:rsidR="00B87C8A">
        <w:trPr>
          <w:trHeight w:val="308"/>
        </w:trPr>
        <w:tc>
          <w:tcPr>
            <w:tcW w:w="7424" w:type="dxa"/>
            <w:gridSpan w:val="3"/>
            <w:tcBorders>
              <w:top w:val="single" w:sz="4" w:space="0" w:color="000000"/>
              <w:left w:val="single" w:sz="4" w:space="0" w:color="000000"/>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收入</w:t>
            </w:r>
          </w:p>
        </w:tc>
        <w:tc>
          <w:tcPr>
            <w:tcW w:w="7800" w:type="dxa"/>
            <w:gridSpan w:val="3"/>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支出</w:t>
            </w:r>
          </w:p>
        </w:tc>
      </w:tr>
      <w:tr w:rsidR="00B87C8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项目</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行次</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金额</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项目</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行次</w:t>
            </w:r>
          </w:p>
        </w:tc>
        <w:tc>
          <w:tcPr>
            <w:tcW w:w="194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金额</w:t>
            </w:r>
          </w:p>
        </w:tc>
      </w:tr>
      <w:tr w:rsidR="00B87C8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栏次</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B87C8A">
            <w:pPr>
              <w:widowControl/>
              <w:ind w:firstLine="0"/>
              <w:jc w:val="center"/>
              <w:rPr>
                <w:rFonts w:ascii="宋体" w:hAnsi="宋体" w:cs="宋体" w:hint="default"/>
                <w:color w:val="000000"/>
                <w:sz w:val="22"/>
              </w:rPr>
            </w:pP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1</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栏次</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B87C8A">
            <w:pPr>
              <w:widowControl/>
              <w:ind w:firstLine="0"/>
              <w:jc w:val="center"/>
              <w:rPr>
                <w:rFonts w:ascii="宋体" w:hAnsi="宋体" w:cs="宋体" w:hint="default"/>
                <w:color w:val="000000"/>
                <w:sz w:val="22"/>
              </w:rPr>
            </w:pPr>
          </w:p>
        </w:tc>
        <w:tc>
          <w:tcPr>
            <w:tcW w:w="194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2</w:t>
            </w:r>
          </w:p>
        </w:tc>
      </w:tr>
      <w:tr w:rsidR="00B87C8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textAlignment w:val="center"/>
              <w:rPr>
                <w:rFonts w:ascii="宋体" w:hAnsi="宋体" w:cs="宋体" w:hint="default"/>
                <w:color w:val="000000"/>
                <w:sz w:val="22"/>
              </w:rPr>
            </w:pPr>
            <w:r w:rsidRPr="00B237E9">
              <w:rPr>
                <w:rFonts w:ascii="宋体" w:hAnsi="宋体" w:cs="宋体"/>
                <w:color w:val="000000"/>
                <w:kern w:val="0"/>
                <w:sz w:val="22"/>
              </w:rPr>
              <w:t>一、一般公共预算财政拨款收入</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1</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B87C8A" w:rsidRPr="00B237E9" w:rsidRDefault="002D1C8A">
            <w:pPr>
              <w:widowControl/>
              <w:jc w:val="right"/>
              <w:textAlignment w:val="center"/>
              <w:rPr>
                <w:rFonts w:ascii="宋体" w:hAnsi="宋体" w:cs="宋体" w:hint="default"/>
                <w:color w:val="000000"/>
                <w:sz w:val="22"/>
              </w:rPr>
            </w:pPr>
            <w:r w:rsidRPr="00B237E9">
              <w:rPr>
                <w:rFonts w:ascii="宋体" w:hAnsi="宋体" w:cs="宋体"/>
                <w:color w:val="000000"/>
                <w:kern w:val="0"/>
                <w:sz w:val="22"/>
              </w:rPr>
              <w:t>54,107.59</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left"/>
              <w:textAlignment w:val="center"/>
              <w:rPr>
                <w:rFonts w:ascii="宋体" w:hAnsi="宋体" w:cs="宋体" w:hint="default"/>
                <w:color w:val="000000"/>
                <w:sz w:val="22"/>
              </w:rPr>
            </w:pPr>
            <w:r w:rsidRPr="00B237E9">
              <w:rPr>
                <w:rFonts w:ascii="宋体" w:hAnsi="宋体" w:cs="宋体"/>
                <w:color w:val="000000"/>
                <w:kern w:val="0"/>
                <w:sz w:val="22"/>
              </w:rPr>
              <w:t>一、一般公共服务支出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32</w:t>
            </w:r>
          </w:p>
        </w:tc>
        <w:tc>
          <w:tcPr>
            <w:tcW w:w="1944" w:type="dxa"/>
            <w:tcBorders>
              <w:top w:val="nil"/>
              <w:left w:val="nil"/>
              <w:bottom w:val="single" w:sz="4" w:space="0" w:color="000000"/>
              <w:right w:val="single" w:sz="4" w:space="0" w:color="000000"/>
              <w:tl2br w:val="nil"/>
              <w:tr2bl w:val="nil"/>
            </w:tcBorders>
            <w:noWrap/>
            <w:vAlign w:val="center"/>
          </w:tcPr>
          <w:p w:rsidR="00B87C8A" w:rsidRPr="00B237E9" w:rsidRDefault="002D1C8A">
            <w:pPr>
              <w:widowControl/>
              <w:jc w:val="right"/>
              <w:textAlignment w:val="center"/>
              <w:rPr>
                <w:rFonts w:ascii="宋体" w:hAnsi="宋体" w:cs="宋体" w:hint="default"/>
                <w:color w:val="000000"/>
                <w:sz w:val="22"/>
              </w:rPr>
            </w:pPr>
            <w:r w:rsidRPr="00B237E9">
              <w:rPr>
                <w:rFonts w:ascii="宋体" w:hAnsi="宋体" w:cs="宋体"/>
                <w:color w:val="000000"/>
                <w:kern w:val="0"/>
                <w:sz w:val="22"/>
              </w:rPr>
              <w:t>56.89</w:t>
            </w:r>
          </w:p>
        </w:tc>
      </w:tr>
      <w:tr w:rsidR="00B87C8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textAlignment w:val="center"/>
              <w:rPr>
                <w:rFonts w:ascii="宋体" w:hAnsi="宋体" w:cs="宋体" w:hint="default"/>
                <w:color w:val="000000"/>
                <w:sz w:val="22"/>
              </w:rPr>
            </w:pPr>
            <w:r w:rsidRPr="00B237E9">
              <w:rPr>
                <w:rFonts w:ascii="宋体" w:hAnsi="宋体" w:cs="宋体"/>
                <w:color w:val="000000"/>
                <w:kern w:val="0"/>
                <w:sz w:val="22"/>
              </w:rPr>
              <w:t>二、政府性基金预算财政拨款收入</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2</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B87C8A" w:rsidRPr="00B237E9" w:rsidRDefault="00B87C8A">
            <w:pPr>
              <w:jc w:val="right"/>
              <w:rPr>
                <w:rFonts w:ascii="宋体" w:hAnsi="宋体" w:cs="宋体" w:hint="default"/>
                <w:color w:val="000000"/>
                <w:sz w:val="22"/>
              </w:rPr>
            </w:pP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left"/>
              <w:textAlignment w:val="center"/>
              <w:rPr>
                <w:rFonts w:ascii="宋体" w:hAnsi="宋体" w:cs="宋体" w:hint="default"/>
                <w:color w:val="000000"/>
                <w:sz w:val="22"/>
              </w:rPr>
            </w:pPr>
            <w:r w:rsidRPr="00B237E9">
              <w:rPr>
                <w:rFonts w:ascii="宋体" w:hAnsi="宋体" w:cs="宋体"/>
                <w:color w:val="000000"/>
                <w:kern w:val="0"/>
                <w:sz w:val="22"/>
              </w:rPr>
              <w:t>二、外交支出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33</w:t>
            </w:r>
          </w:p>
        </w:tc>
        <w:tc>
          <w:tcPr>
            <w:tcW w:w="1944" w:type="dxa"/>
            <w:tcBorders>
              <w:top w:val="nil"/>
              <w:left w:val="nil"/>
              <w:bottom w:val="single" w:sz="4" w:space="0" w:color="000000"/>
              <w:right w:val="single" w:sz="4" w:space="0" w:color="000000"/>
              <w:tl2br w:val="nil"/>
              <w:tr2bl w:val="nil"/>
            </w:tcBorders>
            <w:noWrap/>
            <w:vAlign w:val="center"/>
          </w:tcPr>
          <w:p w:rsidR="00B87C8A" w:rsidRPr="00B237E9" w:rsidRDefault="00B87C8A">
            <w:pPr>
              <w:jc w:val="right"/>
              <w:rPr>
                <w:rFonts w:ascii="宋体" w:hAnsi="宋体" w:cs="宋体" w:hint="default"/>
                <w:color w:val="000000"/>
                <w:sz w:val="22"/>
              </w:rPr>
            </w:pPr>
          </w:p>
        </w:tc>
      </w:tr>
      <w:tr w:rsidR="00B87C8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textAlignment w:val="center"/>
              <w:rPr>
                <w:rFonts w:ascii="宋体" w:hAnsi="宋体" w:cs="宋体" w:hint="default"/>
                <w:color w:val="000000"/>
                <w:sz w:val="22"/>
              </w:rPr>
            </w:pPr>
            <w:r w:rsidRPr="00B237E9">
              <w:rPr>
                <w:rFonts w:ascii="宋体" w:hAnsi="宋体" w:cs="宋体"/>
                <w:color w:val="000000"/>
                <w:kern w:val="0"/>
                <w:sz w:val="22"/>
              </w:rPr>
              <w:t>三、国有资本经营预算财政拨款收入</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3</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B87C8A" w:rsidRPr="00B237E9" w:rsidRDefault="00B87C8A">
            <w:pPr>
              <w:jc w:val="right"/>
              <w:rPr>
                <w:rFonts w:ascii="宋体" w:hAnsi="宋体" w:cs="宋体" w:hint="default"/>
                <w:color w:val="000000"/>
                <w:sz w:val="22"/>
              </w:rPr>
            </w:pP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left"/>
              <w:textAlignment w:val="center"/>
              <w:rPr>
                <w:rFonts w:ascii="宋体" w:hAnsi="宋体" w:cs="宋体" w:hint="default"/>
                <w:color w:val="000000"/>
                <w:sz w:val="22"/>
              </w:rPr>
            </w:pPr>
            <w:r w:rsidRPr="00B237E9">
              <w:rPr>
                <w:rFonts w:ascii="宋体" w:hAnsi="宋体" w:cs="宋体"/>
                <w:color w:val="000000"/>
                <w:kern w:val="0"/>
                <w:sz w:val="22"/>
              </w:rPr>
              <w:t>三、国防支出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34</w:t>
            </w:r>
          </w:p>
        </w:tc>
        <w:tc>
          <w:tcPr>
            <w:tcW w:w="1944" w:type="dxa"/>
            <w:tcBorders>
              <w:top w:val="nil"/>
              <w:left w:val="nil"/>
              <w:bottom w:val="single" w:sz="4" w:space="0" w:color="000000"/>
              <w:right w:val="single" w:sz="4" w:space="0" w:color="000000"/>
              <w:tl2br w:val="nil"/>
              <w:tr2bl w:val="nil"/>
            </w:tcBorders>
            <w:noWrap/>
            <w:vAlign w:val="center"/>
          </w:tcPr>
          <w:p w:rsidR="00B87C8A" w:rsidRPr="00B237E9" w:rsidRDefault="00B87C8A">
            <w:pPr>
              <w:jc w:val="right"/>
              <w:rPr>
                <w:rFonts w:ascii="宋体" w:hAnsi="宋体" w:cs="宋体" w:hint="default"/>
                <w:color w:val="000000"/>
                <w:sz w:val="22"/>
              </w:rPr>
            </w:pPr>
          </w:p>
        </w:tc>
      </w:tr>
      <w:tr w:rsidR="00B87C8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textAlignment w:val="center"/>
              <w:rPr>
                <w:rFonts w:ascii="宋体" w:hAnsi="宋体" w:cs="宋体" w:hint="default"/>
                <w:color w:val="000000"/>
                <w:sz w:val="22"/>
              </w:rPr>
            </w:pPr>
            <w:r w:rsidRPr="00B237E9">
              <w:rPr>
                <w:rFonts w:ascii="宋体" w:hAnsi="宋体" w:cs="宋体"/>
                <w:color w:val="000000"/>
                <w:kern w:val="0"/>
                <w:sz w:val="22"/>
              </w:rPr>
              <w:t>四、上级补助收入</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4</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B87C8A" w:rsidRPr="00B237E9" w:rsidRDefault="00B87C8A">
            <w:pPr>
              <w:jc w:val="right"/>
              <w:rPr>
                <w:rFonts w:ascii="宋体" w:hAnsi="宋体" w:cs="宋体" w:hint="default"/>
                <w:color w:val="000000"/>
                <w:sz w:val="22"/>
              </w:rPr>
            </w:pP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left"/>
              <w:textAlignment w:val="center"/>
              <w:rPr>
                <w:rFonts w:ascii="宋体" w:hAnsi="宋体" w:cs="宋体" w:hint="default"/>
                <w:color w:val="000000"/>
                <w:sz w:val="22"/>
              </w:rPr>
            </w:pPr>
            <w:r w:rsidRPr="00B237E9">
              <w:rPr>
                <w:rFonts w:ascii="宋体" w:hAnsi="宋体" w:cs="宋体"/>
                <w:color w:val="000000"/>
                <w:kern w:val="0"/>
                <w:sz w:val="22"/>
              </w:rPr>
              <w:t>四、公共安全支出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35</w:t>
            </w:r>
          </w:p>
        </w:tc>
        <w:tc>
          <w:tcPr>
            <w:tcW w:w="1944" w:type="dxa"/>
            <w:tcBorders>
              <w:top w:val="nil"/>
              <w:left w:val="nil"/>
              <w:bottom w:val="single" w:sz="4" w:space="0" w:color="000000"/>
              <w:right w:val="single" w:sz="4" w:space="0" w:color="000000"/>
              <w:tl2br w:val="nil"/>
              <w:tr2bl w:val="nil"/>
            </w:tcBorders>
            <w:noWrap/>
            <w:vAlign w:val="center"/>
          </w:tcPr>
          <w:p w:rsidR="00B87C8A" w:rsidRPr="00B237E9" w:rsidRDefault="00B87C8A">
            <w:pPr>
              <w:jc w:val="right"/>
              <w:rPr>
                <w:rFonts w:ascii="宋体" w:hAnsi="宋体" w:cs="宋体" w:hint="default"/>
                <w:color w:val="000000"/>
                <w:sz w:val="22"/>
              </w:rPr>
            </w:pPr>
          </w:p>
        </w:tc>
      </w:tr>
      <w:tr w:rsidR="00B87C8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textAlignment w:val="center"/>
              <w:rPr>
                <w:rFonts w:ascii="宋体" w:hAnsi="宋体" w:cs="宋体" w:hint="default"/>
                <w:color w:val="000000"/>
                <w:sz w:val="22"/>
              </w:rPr>
            </w:pPr>
            <w:r w:rsidRPr="00B237E9">
              <w:rPr>
                <w:rFonts w:ascii="宋体" w:hAnsi="宋体" w:cs="宋体"/>
                <w:color w:val="000000"/>
                <w:kern w:val="0"/>
                <w:sz w:val="22"/>
              </w:rPr>
              <w:t>五、事业收入</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5</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B87C8A" w:rsidRPr="00B237E9" w:rsidRDefault="002D1C8A">
            <w:pPr>
              <w:widowControl/>
              <w:jc w:val="right"/>
              <w:textAlignment w:val="center"/>
              <w:rPr>
                <w:rFonts w:ascii="宋体" w:hAnsi="宋体" w:cs="宋体" w:hint="default"/>
                <w:color w:val="000000"/>
                <w:sz w:val="22"/>
              </w:rPr>
            </w:pPr>
            <w:r w:rsidRPr="00B237E9">
              <w:rPr>
                <w:rFonts w:ascii="宋体" w:hAnsi="宋体" w:cs="宋体"/>
                <w:color w:val="000000"/>
                <w:kern w:val="0"/>
                <w:sz w:val="22"/>
              </w:rPr>
              <w:t>13,125.34</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left"/>
              <w:textAlignment w:val="center"/>
              <w:rPr>
                <w:rFonts w:ascii="宋体" w:hAnsi="宋体" w:cs="宋体" w:hint="default"/>
                <w:color w:val="000000"/>
                <w:sz w:val="22"/>
              </w:rPr>
            </w:pPr>
            <w:r w:rsidRPr="00B237E9">
              <w:rPr>
                <w:rFonts w:ascii="宋体" w:hAnsi="宋体" w:cs="宋体"/>
                <w:color w:val="000000"/>
                <w:kern w:val="0"/>
                <w:sz w:val="22"/>
              </w:rPr>
              <w:t>五、教育支出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36</w:t>
            </w:r>
          </w:p>
        </w:tc>
        <w:tc>
          <w:tcPr>
            <w:tcW w:w="1944" w:type="dxa"/>
            <w:tcBorders>
              <w:top w:val="nil"/>
              <w:left w:val="nil"/>
              <w:bottom w:val="single" w:sz="4" w:space="0" w:color="000000"/>
              <w:right w:val="single" w:sz="4" w:space="0" w:color="000000"/>
              <w:tl2br w:val="nil"/>
              <w:tr2bl w:val="nil"/>
            </w:tcBorders>
            <w:noWrap/>
            <w:vAlign w:val="center"/>
          </w:tcPr>
          <w:p w:rsidR="00B87C8A" w:rsidRPr="00B237E9" w:rsidRDefault="002D1C8A">
            <w:pPr>
              <w:widowControl/>
              <w:jc w:val="right"/>
              <w:textAlignment w:val="center"/>
              <w:rPr>
                <w:rFonts w:ascii="宋体" w:hAnsi="宋体" w:cs="宋体" w:hint="default"/>
                <w:color w:val="000000"/>
                <w:sz w:val="22"/>
              </w:rPr>
            </w:pPr>
            <w:r w:rsidRPr="00B237E9">
              <w:rPr>
                <w:rFonts w:ascii="宋体" w:hAnsi="宋体" w:cs="宋体"/>
                <w:color w:val="000000"/>
                <w:kern w:val="0"/>
                <w:sz w:val="22"/>
              </w:rPr>
              <w:t>54,605.28</w:t>
            </w:r>
          </w:p>
        </w:tc>
      </w:tr>
      <w:tr w:rsidR="00B87C8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textAlignment w:val="center"/>
              <w:rPr>
                <w:rFonts w:ascii="宋体" w:hAnsi="宋体" w:cs="宋体" w:hint="default"/>
                <w:color w:val="000000"/>
                <w:sz w:val="22"/>
              </w:rPr>
            </w:pPr>
            <w:r w:rsidRPr="00B237E9">
              <w:rPr>
                <w:rFonts w:ascii="宋体" w:hAnsi="宋体" w:cs="宋体"/>
                <w:color w:val="000000"/>
                <w:kern w:val="0"/>
                <w:sz w:val="22"/>
              </w:rPr>
              <w:t>六、经营收入</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6</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B87C8A" w:rsidRPr="00B237E9" w:rsidRDefault="00B87C8A">
            <w:pPr>
              <w:jc w:val="right"/>
              <w:rPr>
                <w:rFonts w:ascii="宋体" w:hAnsi="宋体" w:cs="宋体" w:hint="default"/>
                <w:color w:val="000000"/>
                <w:sz w:val="22"/>
              </w:rPr>
            </w:pP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left"/>
              <w:textAlignment w:val="center"/>
              <w:rPr>
                <w:rFonts w:ascii="宋体" w:hAnsi="宋体" w:cs="宋体" w:hint="default"/>
                <w:color w:val="000000"/>
                <w:sz w:val="22"/>
              </w:rPr>
            </w:pPr>
            <w:r w:rsidRPr="00B237E9">
              <w:rPr>
                <w:rFonts w:ascii="宋体" w:hAnsi="宋体" w:cs="宋体"/>
                <w:color w:val="000000"/>
                <w:kern w:val="0"/>
                <w:sz w:val="22"/>
              </w:rPr>
              <w:t>六、科学技术支出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37</w:t>
            </w:r>
          </w:p>
        </w:tc>
        <w:tc>
          <w:tcPr>
            <w:tcW w:w="1944" w:type="dxa"/>
            <w:tcBorders>
              <w:top w:val="nil"/>
              <w:left w:val="nil"/>
              <w:bottom w:val="single" w:sz="4" w:space="0" w:color="000000"/>
              <w:right w:val="single" w:sz="4" w:space="0" w:color="000000"/>
              <w:tl2br w:val="nil"/>
              <w:tr2bl w:val="nil"/>
            </w:tcBorders>
            <w:noWrap/>
            <w:vAlign w:val="center"/>
          </w:tcPr>
          <w:p w:rsidR="00B87C8A" w:rsidRPr="00B237E9" w:rsidRDefault="002D1C8A">
            <w:pPr>
              <w:widowControl/>
              <w:jc w:val="right"/>
              <w:textAlignment w:val="center"/>
              <w:rPr>
                <w:rFonts w:ascii="宋体" w:hAnsi="宋体" w:cs="宋体" w:hint="default"/>
                <w:color w:val="000000"/>
                <w:sz w:val="22"/>
              </w:rPr>
            </w:pPr>
            <w:r w:rsidRPr="00B237E9">
              <w:rPr>
                <w:rFonts w:ascii="宋体" w:hAnsi="宋体" w:cs="宋体"/>
                <w:color w:val="000000"/>
                <w:kern w:val="0"/>
                <w:sz w:val="22"/>
              </w:rPr>
              <w:t>480.20</w:t>
            </w:r>
          </w:p>
        </w:tc>
      </w:tr>
      <w:tr w:rsidR="00B87C8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textAlignment w:val="center"/>
              <w:rPr>
                <w:rFonts w:ascii="宋体" w:hAnsi="宋体" w:cs="宋体" w:hint="default"/>
                <w:color w:val="000000"/>
                <w:sz w:val="22"/>
              </w:rPr>
            </w:pPr>
            <w:r w:rsidRPr="00B237E9">
              <w:rPr>
                <w:rFonts w:ascii="宋体" w:hAnsi="宋体" w:cs="宋体"/>
                <w:color w:val="000000"/>
                <w:kern w:val="0"/>
                <w:sz w:val="22"/>
              </w:rPr>
              <w:t>七、附属单位上缴收入</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7</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B87C8A" w:rsidRPr="00B237E9" w:rsidRDefault="00B87C8A">
            <w:pPr>
              <w:jc w:val="right"/>
              <w:rPr>
                <w:rFonts w:ascii="宋体" w:hAnsi="宋体" w:cs="宋体" w:hint="default"/>
                <w:color w:val="000000"/>
                <w:sz w:val="22"/>
              </w:rPr>
            </w:pP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left"/>
              <w:textAlignment w:val="center"/>
              <w:rPr>
                <w:rFonts w:ascii="宋体" w:hAnsi="宋体" w:cs="宋体" w:hint="default"/>
                <w:color w:val="000000"/>
                <w:sz w:val="22"/>
              </w:rPr>
            </w:pPr>
            <w:r w:rsidRPr="00B237E9">
              <w:rPr>
                <w:rFonts w:ascii="宋体" w:hAnsi="宋体" w:cs="宋体"/>
                <w:color w:val="000000"/>
                <w:kern w:val="0"/>
                <w:sz w:val="22"/>
              </w:rPr>
              <w:t>七、文化旅游体育与传媒支出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38</w:t>
            </w:r>
          </w:p>
        </w:tc>
        <w:tc>
          <w:tcPr>
            <w:tcW w:w="1944" w:type="dxa"/>
            <w:tcBorders>
              <w:top w:val="nil"/>
              <w:left w:val="nil"/>
              <w:bottom w:val="single" w:sz="4" w:space="0" w:color="000000"/>
              <w:right w:val="single" w:sz="4" w:space="0" w:color="000000"/>
              <w:tl2br w:val="nil"/>
              <w:tr2bl w:val="nil"/>
            </w:tcBorders>
            <w:noWrap/>
            <w:vAlign w:val="center"/>
          </w:tcPr>
          <w:p w:rsidR="00B87C8A" w:rsidRPr="00B237E9" w:rsidRDefault="002D1C8A">
            <w:pPr>
              <w:widowControl/>
              <w:jc w:val="right"/>
              <w:textAlignment w:val="center"/>
              <w:rPr>
                <w:rFonts w:ascii="宋体" w:hAnsi="宋体" w:cs="宋体" w:hint="default"/>
                <w:color w:val="000000"/>
                <w:sz w:val="22"/>
              </w:rPr>
            </w:pPr>
            <w:r w:rsidRPr="00B237E9">
              <w:rPr>
                <w:rFonts w:ascii="宋体" w:hAnsi="宋体" w:cs="宋体"/>
                <w:color w:val="000000"/>
                <w:kern w:val="0"/>
                <w:sz w:val="22"/>
              </w:rPr>
              <w:t>50.00</w:t>
            </w:r>
          </w:p>
        </w:tc>
      </w:tr>
      <w:tr w:rsidR="00B87C8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textAlignment w:val="center"/>
              <w:rPr>
                <w:rFonts w:ascii="宋体" w:hAnsi="宋体" w:cs="宋体" w:hint="default"/>
                <w:color w:val="000000"/>
                <w:sz w:val="22"/>
              </w:rPr>
            </w:pPr>
            <w:r w:rsidRPr="00B237E9">
              <w:rPr>
                <w:rFonts w:ascii="宋体" w:hAnsi="宋体" w:cs="宋体"/>
                <w:color w:val="000000"/>
                <w:kern w:val="0"/>
                <w:sz w:val="22"/>
              </w:rPr>
              <w:t>八、其他收入</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8</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B87C8A" w:rsidRPr="00B237E9" w:rsidRDefault="002D1C8A">
            <w:pPr>
              <w:widowControl/>
              <w:jc w:val="right"/>
              <w:textAlignment w:val="center"/>
              <w:rPr>
                <w:rFonts w:ascii="宋体" w:hAnsi="宋体" w:cs="宋体" w:hint="default"/>
                <w:color w:val="000000"/>
                <w:sz w:val="22"/>
              </w:rPr>
            </w:pPr>
            <w:r w:rsidRPr="00B237E9">
              <w:rPr>
                <w:rFonts w:ascii="宋体" w:hAnsi="宋体" w:cs="宋体"/>
                <w:color w:val="000000"/>
                <w:kern w:val="0"/>
                <w:sz w:val="22"/>
              </w:rPr>
              <w:t>2,863.67</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left"/>
              <w:textAlignment w:val="center"/>
              <w:rPr>
                <w:rFonts w:ascii="宋体" w:hAnsi="宋体" w:cs="宋体" w:hint="default"/>
                <w:color w:val="000000"/>
                <w:sz w:val="22"/>
              </w:rPr>
            </w:pPr>
            <w:r w:rsidRPr="00B237E9">
              <w:rPr>
                <w:rFonts w:ascii="宋体" w:hAnsi="宋体" w:cs="宋体"/>
                <w:color w:val="000000"/>
                <w:kern w:val="0"/>
                <w:sz w:val="22"/>
              </w:rPr>
              <w:t>八、社会保障和就业支出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39</w:t>
            </w:r>
          </w:p>
        </w:tc>
        <w:tc>
          <w:tcPr>
            <w:tcW w:w="1944" w:type="dxa"/>
            <w:tcBorders>
              <w:top w:val="nil"/>
              <w:left w:val="nil"/>
              <w:bottom w:val="single" w:sz="4" w:space="0" w:color="000000"/>
              <w:right w:val="single" w:sz="4" w:space="0" w:color="000000"/>
              <w:tl2br w:val="nil"/>
              <w:tr2bl w:val="nil"/>
            </w:tcBorders>
            <w:noWrap/>
            <w:vAlign w:val="center"/>
          </w:tcPr>
          <w:p w:rsidR="00B87C8A" w:rsidRPr="00B237E9" w:rsidRDefault="002D1C8A">
            <w:pPr>
              <w:widowControl/>
              <w:jc w:val="right"/>
              <w:textAlignment w:val="center"/>
              <w:rPr>
                <w:rFonts w:ascii="宋体" w:hAnsi="宋体" w:cs="宋体" w:hint="default"/>
                <w:color w:val="000000"/>
                <w:sz w:val="22"/>
              </w:rPr>
            </w:pPr>
            <w:r w:rsidRPr="00B237E9">
              <w:rPr>
                <w:rFonts w:ascii="宋体" w:hAnsi="宋体" w:cs="宋体"/>
                <w:color w:val="000000"/>
                <w:kern w:val="0"/>
                <w:sz w:val="22"/>
              </w:rPr>
              <w:t>3,184.60</w:t>
            </w:r>
          </w:p>
        </w:tc>
      </w:tr>
      <w:tr w:rsidR="00B87C8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Pr="00B237E9" w:rsidRDefault="00B87C8A">
            <w:pPr>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9</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B87C8A" w:rsidRPr="00B237E9" w:rsidRDefault="00B87C8A">
            <w:pPr>
              <w:jc w:val="right"/>
              <w:rPr>
                <w:rFonts w:ascii="宋体" w:hAnsi="宋体" w:cs="宋体" w:hint="default"/>
                <w:color w:val="000000"/>
                <w:sz w:val="22"/>
              </w:rPr>
            </w:pP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left"/>
              <w:textAlignment w:val="center"/>
              <w:rPr>
                <w:rFonts w:ascii="宋体" w:hAnsi="宋体" w:cs="宋体" w:hint="default"/>
                <w:color w:val="000000"/>
                <w:sz w:val="22"/>
              </w:rPr>
            </w:pPr>
            <w:r w:rsidRPr="00B237E9">
              <w:rPr>
                <w:rFonts w:ascii="宋体" w:hAnsi="宋体" w:cs="宋体"/>
                <w:color w:val="000000"/>
                <w:kern w:val="0"/>
                <w:sz w:val="22"/>
              </w:rPr>
              <w:t>九、卫生健康支出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40</w:t>
            </w:r>
          </w:p>
        </w:tc>
        <w:tc>
          <w:tcPr>
            <w:tcW w:w="1944" w:type="dxa"/>
            <w:tcBorders>
              <w:top w:val="nil"/>
              <w:left w:val="nil"/>
              <w:bottom w:val="single" w:sz="4" w:space="0" w:color="000000"/>
              <w:right w:val="single" w:sz="4" w:space="0" w:color="000000"/>
              <w:tl2br w:val="nil"/>
              <w:tr2bl w:val="nil"/>
            </w:tcBorders>
            <w:noWrap/>
            <w:vAlign w:val="center"/>
          </w:tcPr>
          <w:p w:rsidR="00B87C8A" w:rsidRPr="00B237E9" w:rsidRDefault="002D1C8A">
            <w:pPr>
              <w:widowControl/>
              <w:jc w:val="right"/>
              <w:textAlignment w:val="center"/>
              <w:rPr>
                <w:rFonts w:ascii="宋体" w:hAnsi="宋体" w:cs="宋体" w:hint="default"/>
                <w:color w:val="000000"/>
                <w:sz w:val="22"/>
              </w:rPr>
            </w:pPr>
            <w:r w:rsidRPr="00B237E9">
              <w:rPr>
                <w:rFonts w:ascii="宋体" w:hAnsi="宋体" w:cs="宋体"/>
                <w:color w:val="000000"/>
                <w:kern w:val="0"/>
                <w:sz w:val="22"/>
              </w:rPr>
              <w:t>253.20</w:t>
            </w:r>
          </w:p>
        </w:tc>
      </w:tr>
      <w:tr w:rsidR="00B87C8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Pr="00B237E9" w:rsidRDefault="00B87C8A">
            <w:pPr>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10</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B87C8A" w:rsidRPr="00B237E9" w:rsidRDefault="00B87C8A">
            <w:pPr>
              <w:jc w:val="right"/>
              <w:rPr>
                <w:rFonts w:ascii="宋体" w:hAnsi="宋体" w:cs="宋体" w:hint="default"/>
                <w:color w:val="000000"/>
                <w:sz w:val="22"/>
              </w:rPr>
            </w:pP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left"/>
              <w:textAlignment w:val="center"/>
              <w:rPr>
                <w:rFonts w:ascii="宋体" w:hAnsi="宋体" w:cs="宋体" w:hint="default"/>
                <w:color w:val="000000"/>
                <w:sz w:val="22"/>
              </w:rPr>
            </w:pPr>
            <w:r w:rsidRPr="00B237E9">
              <w:rPr>
                <w:rFonts w:ascii="宋体" w:hAnsi="宋体" w:cs="宋体"/>
                <w:color w:val="000000"/>
                <w:kern w:val="0"/>
                <w:sz w:val="22"/>
              </w:rPr>
              <w:t>十、节能环保支出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41</w:t>
            </w:r>
          </w:p>
        </w:tc>
        <w:tc>
          <w:tcPr>
            <w:tcW w:w="1944" w:type="dxa"/>
            <w:tcBorders>
              <w:top w:val="nil"/>
              <w:left w:val="nil"/>
              <w:bottom w:val="single" w:sz="4" w:space="0" w:color="000000"/>
              <w:right w:val="single" w:sz="4" w:space="0" w:color="000000"/>
              <w:tl2br w:val="nil"/>
              <w:tr2bl w:val="nil"/>
            </w:tcBorders>
            <w:noWrap/>
            <w:vAlign w:val="center"/>
          </w:tcPr>
          <w:p w:rsidR="00B87C8A" w:rsidRPr="00B237E9" w:rsidRDefault="00B87C8A">
            <w:pPr>
              <w:jc w:val="right"/>
              <w:rPr>
                <w:rFonts w:ascii="宋体" w:hAnsi="宋体" w:cs="宋体" w:hint="default"/>
                <w:color w:val="000000"/>
                <w:sz w:val="22"/>
              </w:rPr>
            </w:pPr>
          </w:p>
        </w:tc>
      </w:tr>
      <w:tr w:rsidR="00B87C8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Pr="00B237E9" w:rsidRDefault="00B87C8A">
            <w:pPr>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11</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B87C8A" w:rsidRPr="00B237E9" w:rsidRDefault="00B87C8A">
            <w:pPr>
              <w:jc w:val="right"/>
              <w:rPr>
                <w:rFonts w:ascii="宋体" w:hAnsi="宋体" w:cs="宋体" w:hint="default"/>
                <w:color w:val="000000"/>
                <w:sz w:val="22"/>
              </w:rPr>
            </w:pP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left"/>
              <w:textAlignment w:val="center"/>
              <w:rPr>
                <w:rFonts w:ascii="宋体" w:hAnsi="宋体" w:cs="宋体" w:hint="default"/>
                <w:color w:val="000000"/>
                <w:sz w:val="22"/>
              </w:rPr>
            </w:pPr>
            <w:r w:rsidRPr="00B237E9">
              <w:rPr>
                <w:rFonts w:ascii="宋体" w:hAnsi="宋体" w:cs="宋体"/>
                <w:color w:val="000000"/>
                <w:kern w:val="0"/>
                <w:sz w:val="22"/>
              </w:rPr>
              <w:t>十一、城乡社区支出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42</w:t>
            </w:r>
          </w:p>
        </w:tc>
        <w:tc>
          <w:tcPr>
            <w:tcW w:w="1944" w:type="dxa"/>
            <w:tcBorders>
              <w:top w:val="nil"/>
              <w:left w:val="nil"/>
              <w:bottom w:val="single" w:sz="4" w:space="0" w:color="000000"/>
              <w:right w:val="single" w:sz="4" w:space="0" w:color="000000"/>
              <w:tl2br w:val="nil"/>
              <w:tr2bl w:val="nil"/>
            </w:tcBorders>
            <w:noWrap/>
            <w:vAlign w:val="center"/>
          </w:tcPr>
          <w:p w:rsidR="00B87C8A" w:rsidRPr="00B237E9" w:rsidRDefault="00B87C8A">
            <w:pPr>
              <w:jc w:val="right"/>
              <w:rPr>
                <w:rFonts w:ascii="宋体" w:hAnsi="宋体" w:cs="宋体" w:hint="default"/>
                <w:color w:val="000000"/>
                <w:sz w:val="22"/>
              </w:rPr>
            </w:pPr>
          </w:p>
        </w:tc>
      </w:tr>
      <w:tr w:rsidR="00B87C8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Pr="00B237E9" w:rsidRDefault="00B87C8A">
            <w:pPr>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12</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B87C8A" w:rsidRPr="00B237E9" w:rsidRDefault="00B87C8A">
            <w:pPr>
              <w:jc w:val="right"/>
              <w:rPr>
                <w:rFonts w:ascii="宋体" w:hAnsi="宋体" w:cs="宋体" w:hint="default"/>
                <w:color w:val="000000"/>
                <w:sz w:val="22"/>
              </w:rPr>
            </w:pP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left"/>
              <w:textAlignment w:val="center"/>
              <w:rPr>
                <w:rFonts w:ascii="宋体" w:hAnsi="宋体" w:cs="宋体" w:hint="default"/>
                <w:color w:val="000000"/>
                <w:sz w:val="22"/>
              </w:rPr>
            </w:pPr>
            <w:r w:rsidRPr="00B237E9">
              <w:rPr>
                <w:rFonts w:ascii="宋体" w:hAnsi="宋体" w:cs="宋体"/>
                <w:color w:val="000000"/>
                <w:kern w:val="0"/>
                <w:sz w:val="22"/>
              </w:rPr>
              <w:t>十二、农林水支出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43</w:t>
            </w:r>
          </w:p>
        </w:tc>
        <w:tc>
          <w:tcPr>
            <w:tcW w:w="1944" w:type="dxa"/>
            <w:tcBorders>
              <w:top w:val="nil"/>
              <w:left w:val="nil"/>
              <w:bottom w:val="single" w:sz="4" w:space="0" w:color="000000"/>
              <w:right w:val="single" w:sz="4" w:space="0" w:color="000000"/>
              <w:tl2br w:val="nil"/>
              <w:tr2bl w:val="nil"/>
            </w:tcBorders>
            <w:noWrap/>
            <w:vAlign w:val="center"/>
          </w:tcPr>
          <w:p w:rsidR="00B87C8A" w:rsidRPr="00B237E9" w:rsidRDefault="00B87C8A">
            <w:pPr>
              <w:jc w:val="right"/>
              <w:rPr>
                <w:rFonts w:ascii="宋体" w:hAnsi="宋体" w:cs="宋体" w:hint="default"/>
                <w:color w:val="000000"/>
                <w:sz w:val="22"/>
              </w:rPr>
            </w:pPr>
          </w:p>
        </w:tc>
      </w:tr>
      <w:tr w:rsidR="00B87C8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Pr="00B237E9" w:rsidRDefault="00B87C8A">
            <w:pPr>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13</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B87C8A" w:rsidRPr="00B237E9" w:rsidRDefault="00B87C8A">
            <w:pPr>
              <w:jc w:val="right"/>
              <w:rPr>
                <w:rFonts w:ascii="宋体" w:hAnsi="宋体" w:cs="宋体" w:hint="default"/>
                <w:color w:val="000000"/>
                <w:sz w:val="22"/>
              </w:rPr>
            </w:pP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left"/>
              <w:textAlignment w:val="center"/>
              <w:rPr>
                <w:rFonts w:ascii="宋体" w:hAnsi="宋体" w:cs="宋体" w:hint="default"/>
                <w:color w:val="000000"/>
                <w:sz w:val="22"/>
              </w:rPr>
            </w:pPr>
            <w:r w:rsidRPr="00B237E9">
              <w:rPr>
                <w:rFonts w:ascii="宋体" w:hAnsi="宋体" w:cs="宋体"/>
                <w:color w:val="000000"/>
                <w:kern w:val="0"/>
                <w:sz w:val="22"/>
              </w:rPr>
              <w:t>十三、交通运输支出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44</w:t>
            </w:r>
          </w:p>
        </w:tc>
        <w:tc>
          <w:tcPr>
            <w:tcW w:w="1944" w:type="dxa"/>
            <w:tcBorders>
              <w:top w:val="nil"/>
              <w:left w:val="nil"/>
              <w:bottom w:val="single" w:sz="4" w:space="0" w:color="000000"/>
              <w:right w:val="single" w:sz="4" w:space="0" w:color="000000"/>
              <w:tl2br w:val="nil"/>
              <w:tr2bl w:val="nil"/>
            </w:tcBorders>
            <w:noWrap/>
            <w:vAlign w:val="center"/>
          </w:tcPr>
          <w:p w:rsidR="00B87C8A" w:rsidRPr="00B237E9" w:rsidRDefault="00B87C8A">
            <w:pPr>
              <w:jc w:val="right"/>
              <w:rPr>
                <w:rFonts w:ascii="宋体" w:hAnsi="宋体" w:cs="宋体" w:hint="default"/>
                <w:color w:val="000000"/>
                <w:sz w:val="22"/>
              </w:rPr>
            </w:pPr>
          </w:p>
        </w:tc>
      </w:tr>
      <w:tr w:rsidR="00B87C8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Pr="00B237E9" w:rsidRDefault="00B87C8A">
            <w:pPr>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14</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B87C8A" w:rsidRPr="00B237E9" w:rsidRDefault="00B87C8A">
            <w:pPr>
              <w:jc w:val="right"/>
              <w:rPr>
                <w:rFonts w:ascii="宋体" w:hAnsi="宋体" w:cs="宋体" w:hint="default"/>
                <w:color w:val="000000"/>
                <w:sz w:val="22"/>
              </w:rPr>
            </w:pP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left"/>
              <w:textAlignment w:val="center"/>
              <w:rPr>
                <w:rFonts w:ascii="宋体" w:hAnsi="宋体" w:cs="宋体" w:hint="default"/>
                <w:color w:val="000000"/>
                <w:sz w:val="22"/>
              </w:rPr>
            </w:pPr>
            <w:r w:rsidRPr="00B237E9">
              <w:rPr>
                <w:rFonts w:ascii="宋体" w:hAnsi="宋体" w:cs="宋体"/>
                <w:color w:val="000000"/>
                <w:kern w:val="0"/>
                <w:sz w:val="22"/>
              </w:rPr>
              <w:t>十四、资源勘探工业信息等支出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45</w:t>
            </w:r>
          </w:p>
        </w:tc>
        <w:tc>
          <w:tcPr>
            <w:tcW w:w="1944" w:type="dxa"/>
            <w:tcBorders>
              <w:top w:val="nil"/>
              <w:left w:val="nil"/>
              <w:bottom w:val="single" w:sz="4" w:space="0" w:color="000000"/>
              <w:right w:val="single" w:sz="4" w:space="0" w:color="000000"/>
              <w:tl2br w:val="nil"/>
              <w:tr2bl w:val="nil"/>
            </w:tcBorders>
            <w:noWrap/>
            <w:vAlign w:val="center"/>
          </w:tcPr>
          <w:p w:rsidR="00B87C8A" w:rsidRPr="00B237E9" w:rsidRDefault="00B87C8A">
            <w:pPr>
              <w:jc w:val="right"/>
              <w:rPr>
                <w:rFonts w:ascii="宋体" w:hAnsi="宋体" w:cs="宋体" w:hint="default"/>
                <w:color w:val="000000"/>
                <w:sz w:val="22"/>
              </w:rPr>
            </w:pPr>
          </w:p>
        </w:tc>
      </w:tr>
      <w:tr w:rsidR="00B87C8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Pr="00B237E9" w:rsidRDefault="00B87C8A">
            <w:pPr>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15</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B87C8A" w:rsidRPr="00B237E9" w:rsidRDefault="00B87C8A">
            <w:pPr>
              <w:jc w:val="right"/>
              <w:rPr>
                <w:rFonts w:ascii="宋体" w:hAnsi="宋体" w:cs="宋体" w:hint="default"/>
                <w:color w:val="000000"/>
                <w:sz w:val="22"/>
              </w:rPr>
            </w:pP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left"/>
              <w:textAlignment w:val="center"/>
              <w:rPr>
                <w:rFonts w:ascii="宋体" w:hAnsi="宋体" w:cs="宋体" w:hint="default"/>
                <w:color w:val="000000"/>
                <w:sz w:val="22"/>
              </w:rPr>
            </w:pPr>
            <w:r w:rsidRPr="00B237E9">
              <w:rPr>
                <w:rFonts w:ascii="宋体" w:hAnsi="宋体" w:cs="宋体"/>
                <w:color w:val="000000"/>
                <w:kern w:val="0"/>
                <w:sz w:val="22"/>
              </w:rPr>
              <w:t>十五、商业服务业等支出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46</w:t>
            </w:r>
          </w:p>
        </w:tc>
        <w:tc>
          <w:tcPr>
            <w:tcW w:w="1944" w:type="dxa"/>
            <w:tcBorders>
              <w:top w:val="nil"/>
              <w:left w:val="nil"/>
              <w:bottom w:val="single" w:sz="4" w:space="0" w:color="000000"/>
              <w:right w:val="single" w:sz="4" w:space="0" w:color="000000"/>
              <w:tl2br w:val="nil"/>
              <w:tr2bl w:val="nil"/>
            </w:tcBorders>
            <w:noWrap/>
            <w:vAlign w:val="center"/>
          </w:tcPr>
          <w:p w:rsidR="00B87C8A" w:rsidRPr="00B237E9" w:rsidRDefault="00B87C8A">
            <w:pPr>
              <w:jc w:val="right"/>
              <w:rPr>
                <w:rFonts w:ascii="宋体" w:hAnsi="宋体" w:cs="宋体" w:hint="default"/>
                <w:color w:val="000000"/>
                <w:sz w:val="22"/>
              </w:rPr>
            </w:pPr>
          </w:p>
        </w:tc>
      </w:tr>
      <w:tr w:rsidR="00B87C8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Pr="00B237E9" w:rsidRDefault="00B87C8A">
            <w:pPr>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16</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B87C8A" w:rsidRPr="00B237E9" w:rsidRDefault="00B87C8A">
            <w:pPr>
              <w:jc w:val="right"/>
              <w:rPr>
                <w:rFonts w:ascii="宋体" w:hAnsi="宋体" w:cs="宋体" w:hint="default"/>
                <w:color w:val="000000"/>
                <w:sz w:val="22"/>
              </w:rPr>
            </w:pP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left"/>
              <w:textAlignment w:val="center"/>
              <w:rPr>
                <w:rFonts w:ascii="宋体" w:hAnsi="宋体" w:cs="宋体" w:hint="default"/>
                <w:color w:val="000000"/>
                <w:sz w:val="22"/>
              </w:rPr>
            </w:pPr>
            <w:r w:rsidRPr="00B237E9">
              <w:rPr>
                <w:rFonts w:ascii="宋体" w:hAnsi="宋体" w:cs="宋体"/>
                <w:color w:val="000000"/>
                <w:kern w:val="0"/>
                <w:sz w:val="22"/>
              </w:rPr>
              <w:t>十六、金融支出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47</w:t>
            </w:r>
          </w:p>
        </w:tc>
        <w:tc>
          <w:tcPr>
            <w:tcW w:w="1944" w:type="dxa"/>
            <w:tcBorders>
              <w:top w:val="nil"/>
              <w:left w:val="nil"/>
              <w:bottom w:val="single" w:sz="4" w:space="0" w:color="000000"/>
              <w:right w:val="single" w:sz="4" w:space="0" w:color="000000"/>
              <w:tl2br w:val="nil"/>
              <w:tr2bl w:val="nil"/>
            </w:tcBorders>
            <w:noWrap/>
            <w:vAlign w:val="center"/>
          </w:tcPr>
          <w:p w:rsidR="00B87C8A" w:rsidRPr="00B237E9" w:rsidRDefault="00B87C8A">
            <w:pPr>
              <w:jc w:val="right"/>
              <w:rPr>
                <w:rFonts w:ascii="宋体" w:hAnsi="宋体" w:cs="宋体" w:hint="default"/>
                <w:color w:val="000000"/>
                <w:sz w:val="22"/>
              </w:rPr>
            </w:pPr>
          </w:p>
        </w:tc>
      </w:tr>
      <w:tr w:rsidR="00B87C8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Pr="00B237E9" w:rsidRDefault="00B87C8A">
            <w:pPr>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17</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B87C8A" w:rsidRPr="00B237E9" w:rsidRDefault="00B87C8A">
            <w:pPr>
              <w:jc w:val="right"/>
              <w:rPr>
                <w:rFonts w:ascii="宋体" w:hAnsi="宋体" w:cs="宋体" w:hint="default"/>
                <w:color w:val="000000"/>
                <w:sz w:val="22"/>
              </w:rPr>
            </w:pP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left"/>
              <w:textAlignment w:val="center"/>
              <w:rPr>
                <w:rFonts w:ascii="宋体" w:hAnsi="宋体" w:cs="宋体" w:hint="default"/>
                <w:color w:val="000000"/>
                <w:sz w:val="22"/>
              </w:rPr>
            </w:pPr>
            <w:r w:rsidRPr="00B237E9">
              <w:rPr>
                <w:rFonts w:ascii="宋体" w:hAnsi="宋体" w:cs="宋体"/>
                <w:color w:val="000000"/>
                <w:kern w:val="0"/>
                <w:sz w:val="22"/>
              </w:rPr>
              <w:t>十七、援助其他地区支出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48</w:t>
            </w:r>
          </w:p>
        </w:tc>
        <w:tc>
          <w:tcPr>
            <w:tcW w:w="1944" w:type="dxa"/>
            <w:tcBorders>
              <w:top w:val="nil"/>
              <w:left w:val="nil"/>
              <w:bottom w:val="single" w:sz="4" w:space="0" w:color="000000"/>
              <w:right w:val="single" w:sz="4" w:space="0" w:color="000000"/>
              <w:tl2br w:val="nil"/>
              <w:tr2bl w:val="nil"/>
            </w:tcBorders>
            <w:noWrap/>
            <w:vAlign w:val="center"/>
          </w:tcPr>
          <w:p w:rsidR="00B87C8A" w:rsidRPr="00B237E9" w:rsidRDefault="00B87C8A">
            <w:pPr>
              <w:jc w:val="right"/>
              <w:rPr>
                <w:rFonts w:ascii="宋体" w:hAnsi="宋体" w:cs="宋体" w:hint="default"/>
                <w:color w:val="000000"/>
                <w:sz w:val="22"/>
              </w:rPr>
            </w:pPr>
          </w:p>
        </w:tc>
      </w:tr>
      <w:tr w:rsidR="00B87C8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Pr="00B237E9" w:rsidRDefault="00B87C8A">
            <w:pPr>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18</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B87C8A" w:rsidRPr="00B237E9" w:rsidRDefault="00B87C8A">
            <w:pPr>
              <w:jc w:val="right"/>
              <w:rPr>
                <w:rFonts w:ascii="宋体" w:hAnsi="宋体" w:cs="宋体" w:hint="default"/>
                <w:color w:val="000000"/>
                <w:sz w:val="22"/>
              </w:rPr>
            </w:pP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left"/>
              <w:textAlignment w:val="center"/>
              <w:rPr>
                <w:rFonts w:ascii="宋体" w:hAnsi="宋体" w:cs="宋体" w:hint="default"/>
                <w:color w:val="000000"/>
                <w:sz w:val="22"/>
              </w:rPr>
            </w:pPr>
            <w:r w:rsidRPr="00B237E9">
              <w:rPr>
                <w:rFonts w:ascii="宋体" w:hAnsi="宋体" w:cs="宋体"/>
                <w:color w:val="000000"/>
                <w:kern w:val="0"/>
                <w:sz w:val="22"/>
              </w:rPr>
              <w:t>十八、自然资源海洋气象等支出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49</w:t>
            </w:r>
          </w:p>
        </w:tc>
        <w:tc>
          <w:tcPr>
            <w:tcW w:w="1944" w:type="dxa"/>
            <w:tcBorders>
              <w:top w:val="nil"/>
              <w:left w:val="nil"/>
              <w:bottom w:val="single" w:sz="4" w:space="0" w:color="000000"/>
              <w:right w:val="single" w:sz="4" w:space="0" w:color="000000"/>
              <w:tl2br w:val="nil"/>
              <w:tr2bl w:val="nil"/>
            </w:tcBorders>
            <w:noWrap/>
            <w:vAlign w:val="center"/>
          </w:tcPr>
          <w:p w:rsidR="00B87C8A" w:rsidRPr="00B237E9" w:rsidRDefault="00B87C8A">
            <w:pPr>
              <w:jc w:val="right"/>
              <w:rPr>
                <w:rFonts w:ascii="宋体" w:hAnsi="宋体" w:cs="宋体" w:hint="default"/>
                <w:color w:val="000000"/>
                <w:sz w:val="22"/>
              </w:rPr>
            </w:pPr>
          </w:p>
        </w:tc>
      </w:tr>
      <w:tr w:rsidR="00B87C8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Pr="00B237E9" w:rsidRDefault="00B87C8A">
            <w:pPr>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19</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B87C8A" w:rsidRPr="00B237E9" w:rsidRDefault="00B87C8A">
            <w:pPr>
              <w:jc w:val="right"/>
              <w:rPr>
                <w:rFonts w:ascii="宋体" w:hAnsi="宋体" w:cs="宋体" w:hint="default"/>
                <w:color w:val="000000"/>
                <w:sz w:val="22"/>
              </w:rPr>
            </w:pP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left"/>
              <w:textAlignment w:val="center"/>
              <w:rPr>
                <w:rFonts w:ascii="宋体" w:hAnsi="宋体" w:cs="宋体" w:hint="default"/>
                <w:color w:val="000000"/>
                <w:sz w:val="22"/>
              </w:rPr>
            </w:pPr>
            <w:r w:rsidRPr="00B237E9">
              <w:rPr>
                <w:rFonts w:ascii="宋体" w:hAnsi="宋体" w:cs="宋体"/>
                <w:color w:val="000000"/>
                <w:kern w:val="0"/>
                <w:sz w:val="22"/>
              </w:rPr>
              <w:t>十九、住房保障支出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50</w:t>
            </w:r>
          </w:p>
        </w:tc>
        <w:tc>
          <w:tcPr>
            <w:tcW w:w="1944" w:type="dxa"/>
            <w:tcBorders>
              <w:top w:val="nil"/>
              <w:left w:val="nil"/>
              <w:bottom w:val="single" w:sz="4" w:space="0" w:color="000000"/>
              <w:right w:val="single" w:sz="4" w:space="0" w:color="000000"/>
              <w:tl2br w:val="nil"/>
              <w:tr2bl w:val="nil"/>
            </w:tcBorders>
            <w:noWrap/>
            <w:vAlign w:val="center"/>
          </w:tcPr>
          <w:p w:rsidR="00B87C8A" w:rsidRPr="00B237E9" w:rsidRDefault="002D1C8A">
            <w:pPr>
              <w:widowControl/>
              <w:jc w:val="right"/>
              <w:textAlignment w:val="center"/>
              <w:rPr>
                <w:rFonts w:ascii="宋体" w:hAnsi="宋体" w:cs="宋体" w:hint="default"/>
                <w:color w:val="000000"/>
                <w:sz w:val="22"/>
              </w:rPr>
            </w:pPr>
            <w:r w:rsidRPr="00B237E9">
              <w:rPr>
                <w:rFonts w:ascii="宋体" w:hAnsi="宋体" w:cs="宋体"/>
                <w:color w:val="000000"/>
                <w:kern w:val="0"/>
                <w:sz w:val="22"/>
              </w:rPr>
              <w:t>2,333.16</w:t>
            </w:r>
          </w:p>
        </w:tc>
      </w:tr>
      <w:tr w:rsidR="00B87C8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Pr="00B237E9" w:rsidRDefault="00B87C8A">
            <w:pPr>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20</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B87C8A" w:rsidRPr="00B237E9" w:rsidRDefault="00B87C8A">
            <w:pPr>
              <w:jc w:val="right"/>
              <w:rPr>
                <w:rFonts w:ascii="宋体" w:hAnsi="宋体" w:cs="宋体" w:hint="default"/>
                <w:color w:val="000000"/>
                <w:sz w:val="22"/>
              </w:rPr>
            </w:pP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left"/>
              <w:textAlignment w:val="center"/>
              <w:rPr>
                <w:rFonts w:ascii="宋体" w:hAnsi="宋体" w:cs="宋体" w:hint="default"/>
                <w:color w:val="000000"/>
                <w:sz w:val="22"/>
              </w:rPr>
            </w:pPr>
            <w:r w:rsidRPr="00B237E9">
              <w:rPr>
                <w:rFonts w:ascii="宋体" w:hAnsi="宋体" w:cs="宋体"/>
                <w:color w:val="000000"/>
                <w:kern w:val="0"/>
                <w:sz w:val="22"/>
              </w:rPr>
              <w:t>二十、粮油物资储备支出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51</w:t>
            </w:r>
          </w:p>
        </w:tc>
        <w:tc>
          <w:tcPr>
            <w:tcW w:w="1944" w:type="dxa"/>
            <w:tcBorders>
              <w:top w:val="nil"/>
              <w:left w:val="nil"/>
              <w:bottom w:val="single" w:sz="4" w:space="0" w:color="000000"/>
              <w:right w:val="single" w:sz="4" w:space="0" w:color="000000"/>
              <w:tl2br w:val="nil"/>
              <w:tr2bl w:val="nil"/>
            </w:tcBorders>
            <w:noWrap/>
            <w:vAlign w:val="center"/>
          </w:tcPr>
          <w:p w:rsidR="00B87C8A" w:rsidRPr="00B237E9" w:rsidRDefault="00B87C8A">
            <w:pPr>
              <w:jc w:val="right"/>
              <w:rPr>
                <w:rFonts w:ascii="宋体" w:hAnsi="宋体" w:cs="宋体" w:hint="default"/>
                <w:color w:val="000000"/>
                <w:sz w:val="22"/>
              </w:rPr>
            </w:pPr>
          </w:p>
        </w:tc>
      </w:tr>
      <w:tr w:rsidR="00B87C8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Pr="00B237E9" w:rsidRDefault="00B87C8A">
            <w:pPr>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21</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B87C8A" w:rsidRPr="00B237E9" w:rsidRDefault="00B87C8A">
            <w:pPr>
              <w:jc w:val="right"/>
              <w:rPr>
                <w:rFonts w:ascii="宋体" w:hAnsi="宋体" w:cs="宋体" w:hint="default"/>
                <w:color w:val="000000"/>
                <w:sz w:val="22"/>
              </w:rPr>
            </w:pP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left"/>
              <w:textAlignment w:val="center"/>
              <w:rPr>
                <w:rFonts w:ascii="宋体" w:hAnsi="宋体" w:cs="宋体" w:hint="default"/>
                <w:color w:val="000000"/>
                <w:sz w:val="22"/>
              </w:rPr>
            </w:pPr>
            <w:r w:rsidRPr="00B237E9">
              <w:rPr>
                <w:rFonts w:ascii="宋体" w:hAnsi="宋体" w:cs="宋体"/>
                <w:color w:val="000000"/>
                <w:kern w:val="0"/>
                <w:sz w:val="22"/>
              </w:rPr>
              <w:t>二十一、国有资本经营预算支出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52</w:t>
            </w:r>
          </w:p>
        </w:tc>
        <w:tc>
          <w:tcPr>
            <w:tcW w:w="1944" w:type="dxa"/>
            <w:tcBorders>
              <w:top w:val="nil"/>
              <w:left w:val="nil"/>
              <w:bottom w:val="single" w:sz="4" w:space="0" w:color="000000"/>
              <w:right w:val="single" w:sz="4" w:space="0" w:color="000000"/>
              <w:tl2br w:val="nil"/>
              <w:tr2bl w:val="nil"/>
            </w:tcBorders>
            <w:noWrap/>
            <w:vAlign w:val="center"/>
          </w:tcPr>
          <w:p w:rsidR="00B87C8A" w:rsidRPr="00B237E9" w:rsidRDefault="00B87C8A">
            <w:pPr>
              <w:jc w:val="right"/>
              <w:rPr>
                <w:rFonts w:ascii="宋体" w:hAnsi="宋体" w:cs="宋体" w:hint="default"/>
                <w:color w:val="000000"/>
                <w:sz w:val="22"/>
              </w:rPr>
            </w:pPr>
          </w:p>
        </w:tc>
      </w:tr>
      <w:tr w:rsidR="00B87C8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Pr="00B237E9" w:rsidRDefault="00B87C8A">
            <w:pPr>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22</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B87C8A" w:rsidRPr="00B237E9" w:rsidRDefault="00B87C8A">
            <w:pPr>
              <w:jc w:val="right"/>
              <w:rPr>
                <w:rFonts w:ascii="宋体" w:hAnsi="宋体" w:cs="宋体" w:hint="default"/>
                <w:color w:val="000000"/>
                <w:sz w:val="22"/>
              </w:rPr>
            </w:pP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left"/>
              <w:textAlignment w:val="center"/>
              <w:rPr>
                <w:rFonts w:ascii="宋体" w:hAnsi="宋体" w:cs="宋体" w:hint="default"/>
                <w:color w:val="000000"/>
                <w:sz w:val="22"/>
              </w:rPr>
            </w:pPr>
            <w:r w:rsidRPr="00B237E9">
              <w:rPr>
                <w:rFonts w:ascii="宋体" w:hAnsi="宋体" w:cs="宋体"/>
                <w:color w:val="000000"/>
                <w:kern w:val="0"/>
                <w:sz w:val="22"/>
              </w:rPr>
              <w:t>二十二、灾害防治及应急管理支出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53</w:t>
            </w:r>
          </w:p>
        </w:tc>
        <w:tc>
          <w:tcPr>
            <w:tcW w:w="1944" w:type="dxa"/>
            <w:tcBorders>
              <w:top w:val="nil"/>
              <w:left w:val="nil"/>
              <w:bottom w:val="single" w:sz="4" w:space="0" w:color="000000"/>
              <w:right w:val="single" w:sz="4" w:space="0" w:color="000000"/>
              <w:tl2br w:val="nil"/>
              <w:tr2bl w:val="nil"/>
            </w:tcBorders>
            <w:noWrap/>
            <w:vAlign w:val="center"/>
          </w:tcPr>
          <w:p w:rsidR="00B87C8A" w:rsidRPr="00B237E9" w:rsidRDefault="00B87C8A">
            <w:pPr>
              <w:jc w:val="right"/>
              <w:rPr>
                <w:rFonts w:ascii="宋体" w:hAnsi="宋体" w:cs="宋体" w:hint="default"/>
                <w:color w:val="000000"/>
                <w:sz w:val="22"/>
              </w:rPr>
            </w:pPr>
          </w:p>
        </w:tc>
      </w:tr>
      <w:tr w:rsidR="00B87C8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Pr="00B237E9" w:rsidRDefault="00B87C8A">
            <w:pPr>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23</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B87C8A" w:rsidRPr="00B237E9" w:rsidRDefault="00B87C8A">
            <w:pPr>
              <w:jc w:val="right"/>
              <w:rPr>
                <w:rFonts w:ascii="宋体" w:hAnsi="宋体" w:cs="宋体" w:hint="default"/>
                <w:color w:val="000000"/>
                <w:sz w:val="22"/>
              </w:rPr>
            </w:pP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left"/>
              <w:textAlignment w:val="center"/>
              <w:rPr>
                <w:rFonts w:ascii="宋体" w:hAnsi="宋体" w:cs="宋体" w:hint="default"/>
                <w:color w:val="000000"/>
                <w:sz w:val="22"/>
              </w:rPr>
            </w:pPr>
            <w:r w:rsidRPr="00B237E9">
              <w:rPr>
                <w:rFonts w:ascii="宋体" w:hAnsi="宋体" w:cs="宋体"/>
                <w:color w:val="000000"/>
                <w:kern w:val="0"/>
                <w:sz w:val="22"/>
              </w:rPr>
              <w:t>二十三、其他支出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54</w:t>
            </w:r>
          </w:p>
        </w:tc>
        <w:tc>
          <w:tcPr>
            <w:tcW w:w="1944" w:type="dxa"/>
            <w:tcBorders>
              <w:top w:val="nil"/>
              <w:left w:val="nil"/>
              <w:bottom w:val="single" w:sz="4" w:space="0" w:color="000000"/>
              <w:right w:val="single" w:sz="4" w:space="0" w:color="000000"/>
              <w:tl2br w:val="nil"/>
              <w:tr2bl w:val="nil"/>
            </w:tcBorders>
            <w:noWrap/>
            <w:vAlign w:val="center"/>
          </w:tcPr>
          <w:p w:rsidR="00B87C8A" w:rsidRPr="00B237E9" w:rsidRDefault="00B87C8A">
            <w:pPr>
              <w:jc w:val="right"/>
              <w:rPr>
                <w:rFonts w:ascii="宋体" w:hAnsi="宋体" w:cs="宋体" w:hint="default"/>
                <w:color w:val="000000"/>
                <w:sz w:val="22"/>
              </w:rPr>
            </w:pPr>
          </w:p>
        </w:tc>
      </w:tr>
      <w:tr w:rsidR="00B87C8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Pr="00B237E9" w:rsidRDefault="00B87C8A">
            <w:pPr>
              <w:rPr>
                <w:rFonts w:ascii="宋体" w:hAnsi="宋体" w:cs="宋体" w:hint="default"/>
                <w:b/>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24</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B87C8A" w:rsidRPr="00B237E9" w:rsidRDefault="00B87C8A">
            <w:pPr>
              <w:jc w:val="right"/>
              <w:rPr>
                <w:rFonts w:ascii="宋体" w:hAnsi="宋体" w:cs="宋体" w:hint="default"/>
                <w:color w:val="000000"/>
                <w:sz w:val="22"/>
              </w:rPr>
            </w:pP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left"/>
              <w:textAlignment w:val="center"/>
              <w:rPr>
                <w:rFonts w:ascii="宋体" w:hAnsi="宋体" w:cs="宋体" w:hint="default"/>
                <w:color w:val="000000"/>
                <w:sz w:val="22"/>
              </w:rPr>
            </w:pPr>
            <w:r w:rsidRPr="00B237E9">
              <w:rPr>
                <w:rFonts w:ascii="宋体" w:hAnsi="宋体" w:cs="宋体"/>
                <w:color w:val="000000"/>
                <w:kern w:val="0"/>
                <w:sz w:val="22"/>
              </w:rPr>
              <w:t>二十四、债务还本支出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55</w:t>
            </w:r>
          </w:p>
        </w:tc>
        <w:tc>
          <w:tcPr>
            <w:tcW w:w="1944" w:type="dxa"/>
            <w:tcBorders>
              <w:top w:val="nil"/>
              <w:left w:val="nil"/>
              <w:bottom w:val="single" w:sz="4" w:space="0" w:color="000000"/>
              <w:right w:val="single" w:sz="4" w:space="0" w:color="000000"/>
              <w:tl2br w:val="nil"/>
              <w:tr2bl w:val="nil"/>
            </w:tcBorders>
            <w:noWrap/>
            <w:vAlign w:val="center"/>
          </w:tcPr>
          <w:p w:rsidR="00B87C8A" w:rsidRPr="00B237E9" w:rsidRDefault="00B87C8A">
            <w:pPr>
              <w:jc w:val="right"/>
              <w:rPr>
                <w:rFonts w:ascii="宋体" w:hAnsi="宋体" w:cs="宋体" w:hint="default"/>
                <w:color w:val="000000"/>
                <w:sz w:val="22"/>
              </w:rPr>
            </w:pPr>
          </w:p>
        </w:tc>
      </w:tr>
      <w:tr w:rsidR="00B87C8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Pr="00B237E9" w:rsidRDefault="00B87C8A">
            <w:pPr>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25</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B87C8A" w:rsidRPr="00B237E9" w:rsidRDefault="00B87C8A">
            <w:pPr>
              <w:jc w:val="right"/>
              <w:rPr>
                <w:rFonts w:ascii="宋体" w:hAnsi="宋体" w:cs="宋体" w:hint="default"/>
                <w:color w:val="000000"/>
                <w:sz w:val="22"/>
              </w:rPr>
            </w:pP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left"/>
              <w:textAlignment w:val="center"/>
              <w:rPr>
                <w:rFonts w:ascii="宋体" w:hAnsi="宋体" w:cs="宋体" w:hint="default"/>
                <w:color w:val="000000"/>
                <w:sz w:val="22"/>
              </w:rPr>
            </w:pPr>
            <w:r w:rsidRPr="00B237E9">
              <w:rPr>
                <w:rFonts w:ascii="宋体" w:hAnsi="宋体" w:cs="宋体"/>
                <w:color w:val="000000"/>
                <w:kern w:val="0"/>
                <w:sz w:val="22"/>
              </w:rPr>
              <w:t>二十五、债务付息支出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56</w:t>
            </w:r>
          </w:p>
        </w:tc>
        <w:tc>
          <w:tcPr>
            <w:tcW w:w="1944" w:type="dxa"/>
            <w:tcBorders>
              <w:top w:val="nil"/>
              <w:left w:val="nil"/>
              <w:bottom w:val="single" w:sz="4" w:space="0" w:color="000000"/>
              <w:right w:val="single" w:sz="4" w:space="0" w:color="000000"/>
              <w:tl2br w:val="nil"/>
              <w:tr2bl w:val="nil"/>
            </w:tcBorders>
            <w:noWrap/>
            <w:vAlign w:val="center"/>
          </w:tcPr>
          <w:p w:rsidR="00B87C8A" w:rsidRPr="00B237E9" w:rsidRDefault="00B87C8A">
            <w:pPr>
              <w:jc w:val="right"/>
              <w:rPr>
                <w:rFonts w:ascii="宋体" w:hAnsi="宋体" w:cs="宋体" w:hint="default"/>
                <w:color w:val="000000"/>
                <w:sz w:val="22"/>
              </w:rPr>
            </w:pPr>
          </w:p>
        </w:tc>
      </w:tr>
      <w:tr w:rsidR="00B87C8A">
        <w:trPr>
          <w:trHeight w:val="308"/>
        </w:trPr>
        <w:tc>
          <w:tcPr>
            <w:tcW w:w="3896" w:type="dxa"/>
            <w:tcBorders>
              <w:top w:val="nil"/>
              <w:left w:val="single" w:sz="4" w:space="0" w:color="000000"/>
              <w:bottom w:val="single" w:sz="4" w:space="0" w:color="auto"/>
              <w:right w:val="single" w:sz="4" w:space="0" w:color="000000"/>
              <w:tl2br w:val="nil"/>
              <w:tr2bl w:val="nil"/>
            </w:tcBorders>
            <w:shd w:val="clear" w:color="FFFFFF" w:fill="C0C0C0"/>
            <w:noWrap/>
            <w:vAlign w:val="center"/>
          </w:tcPr>
          <w:p w:rsidR="00B87C8A" w:rsidRPr="00B237E9" w:rsidRDefault="00B87C8A">
            <w:pPr>
              <w:rPr>
                <w:rFonts w:ascii="宋体" w:hAnsi="宋体" w:cs="宋体" w:hint="default"/>
                <w:color w:val="000000"/>
                <w:sz w:val="22"/>
              </w:rPr>
            </w:pPr>
          </w:p>
        </w:tc>
        <w:tc>
          <w:tcPr>
            <w:tcW w:w="1656" w:type="dxa"/>
            <w:tcBorders>
              <w:top w:val="nil"/>
              <w:left w:val="nil"/>
              <w:bottom w:val="single" w:sz="4" w:space="0" w:color="auto"/>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26</w:t>
            </w:r>
          </w:p>
        </w:tc>
        <w:tc>
          <w:tcPr>
            <w:tcW w:w="1872" w:type="dxa"/>
            <w:tcBorders>
              <w:top w:val="nil"/>
              <w:left w:val="nil"/>
              <w:bottom w:val="single" w:sz="4" w:space="0" w:color="auto"/>
              <w:right w:val="single" w:sz="4" w:space="0" w:color="000000"/>
              <w:tl2br w:val="nil"/>
              <w:tr2bl w:val="nil"/>
            </w:tcBorders>
            <w:shd w:val="clear" w:color="auto" w:fill="auto"/>
            <w:noWrap/>
            <w:vAlign w:val="center"/>
          </w:tcPr>
          <w:p w:rsidR="00B87C8A" w:rsidRPr="00B237E9" w:rsidRDefault="00B87C8A">
            <w:pPr>
              <w:jc w:val="right"/>
              <w:rPr>
                <w:rFonts w:ascii="宋体" w:hAnsi="宋体" w:cs="宋体" w:hint="default"/>
                <w:color w:val="000000"/>
                <w:sz w:val="22"/>
              </w:rPr>
            </w:pPr>
          </w:p>
        </w:tc>
        <w:tc>
          <w:tcPr>
            <w:tcW w:w="3984" w:type="dxa"/>
            <w:tcBorders>
              <w:top w:val="nil"/>
              <w:left w:val="nil"/>
              <w:bottom w:val="single" w:sz="4" w:space="0" w:color="auto"/>
              <w:right w:val="single" w:sz="4" w:space="0" w:color="000000"/>
              <w:tl2br w:val="nil"/>
              <w:tr2bl w:val="nil"/>
            </w:tcBorders>
            <w:shd w:val="clear" w:color="FFFFFF" w:fill="C0C0C0"/>
            <w:noWrap/>
            <w:vAlign w:val="center"/>
          </w:tcPr>
          <w:p w:rsidR="00B87C8A" w:rsidRPr="00B237E9" w:rsidRDefault="002D1C8A">
            <w:pPr>
              <w:widowControl/>
              <w:ind w:firstLine="0"/>
              <w:jc w:val="left"/>
              <w:textAlignment w:val="center"/>
              <w:rPr>
                <w:rFonts w:ascii="宋体" w:hAnsi="宋体" w:cs="宋体" w:hint="default"/>
                <w:color w:val="000000"/>
                <w:sz w:val="22"/>
              </w:rPr>
            </w:pPr>
            <w:r w:rsidRPr="00B237E9">
              <w:rPr>
                <w:rFonts w:ascii="宋体" w:hAnsi="宋体" w:cs="宋体"/>
                <w:color w:val="000000"/>
                <w:kern w:val="0"/>
                <w:sz w:val="22"/>
              </w:rPr>
              <w:t>二十六、抗疫特别国债安排的支出</w:t>
            </w:r>
          </w:p>
        </w:tc>
        <w:tc>
          <w:tcPr>
            <w:tcW w:w="1872" w:type="dxa"/>
            <w:tcBorders>
              <w:top w:val="nil"/>
              <w:left w:val="nil"/>
              <w:bottom w:val="single" w:sz="4" w:space="0" w:color="auto"/>
              <w:right w:val="single" w:sz="4" w:space="0" w:color="000000"/>
              <w:tl2br w:val="nil"/>
              <w:tr2bl w:val="nil"/>
            </w:tcBorders>
            <w:shd w:val="clear" w:color="FFFFFF" w:fill="C0C0C0"/>
            <w:noWrap/>
            <w:vAlign w:val="center"/>
          </w:tcPr>
          <w:p w:rsidR="00B87C8A" w:rsidRPr="00B237E9" w:rsidRDefault="002D1C8A">
            <w:pPr>
              <w:widowControl/>
              <w:ind w:firstLine="0"/>
              <w:jc w:val="center"/>
              <w:textAlignment w:val="center"/>
              <w:rPr>
                <w:rFonts w:ascii="宋体" w:hAnsi="宋体" w:cs="宋体" w:hint="default"/>
                <w:color w:val="000000"/>
                <w:sz w:val="22"/>
              </w:rPr>
            </w:pPr>
            <w:r w:rsidRPr="00B237E9">
              <w:rPr>
                <w:rFonts w:ascii="宋体" w:hAnsi="宋体" w:cs="宋体"/>
                <w:color w:val="000000"/>
                <w:kern w:val="0"/>
                <w:sz w:val="22"/>
              </w:rPr>
              <w:t>57</w:t>
            </w:r>
          </w:p>
        </w:tc>
        <w:tc>
          <w:tcPr>
            <w:tcW w:w="1944" w:type="dxa"/>
            <w:tcBorders>
              <w:top w:val="nil"/>
              <w:left w:val="nil"/>
              <w:bottom w:val="single" w:sz="4" w:space="0" w:color="auto"/>
              <w:right w:val="single" w:sz="4" w:space="0" w:color="000000"/>
              <w:tl2br w:val="nil"/>
              <w:tr2bl w:val="nil"/>
            </w:tcBorders>
            <w:noWrap/>
            <w:vAlign w:val="center"/>
          </w:tcPr>
          <w:p w:rsidR="00B87C8A" w:rsidRPr="00B237E9" w:rsidRDefault="00B87C8A">
            <w:pPr>
              <w:jc w:val="right"/>
              <w:rPr>
                <w:rFonts w:ascii="宋体" w:hAnsi="宋体" w:cs="宋体" w:hint="default"/>
                <w:color w:val="000000"/>
                <w:sz w:val="22"/>
              </w:rPr>
            </w:pPr>
          </w:p>
        </w:tc>
      </w:tr>
      <w:tr w:rsidR="00B87C8A">
        <w:trPr>
          <w:trHeight w:val="308"/>
        </w:trPr>
        <w:tc>
          <w:tcPr>
            <w:tcW w:w="3896" w:type="dxa"/>
            <w:tcBorders>
              <w:top w:val="single" w:sz="4" w:space="0" w:color="auto"/>
              <w:left w:val="single" w:sz="4" w:space="0" w:color="auto"/>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textAlignment w:val="center"/>
              <w:rPr>
                <w:rFonts w:ascii="宋体" w:hAnsi="宋体" w:cs="宋体" w:hint="default"/>
                <w:b/>
                <w:color w:val="000000"/>
                <w:sz w:val="22"/>
              </w:rPr>
            </w:pPr>
            <w:r>
              <w:rPr>
                <w:rFonts w:ascii="宋体" w:hAnsi="宋体" w:cs="宋体"/>
                <w:b/>
                <w:color w:val="000000"/>
                <w:kern w:val="0"/>
                <w:sz w:val="22"/>
              </w:rPr>
              <w:lastRenderedPageBreak/>
              <w:t>本年收入合计</w:t>
            </w:r>
          </w:p>
        </w:tc>
        <w:tc>
          <w:tcPr>
            <w:tcW w:w="1656" w:type="dxa"/>
            <w:tcBorders>
              <w:top w:val="single" w:sz="4" w:space="0" w:color="auto"/>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27</w:t>
            </w:r>
          </w:p>
        </w:tc>
        <w:tc>
          <w:tcPr>
            <w:tcW w:w="1872" w:type="dxa"/>
            <w:tcBorders>
              <w:top w:val="single" w:sz="4" w:space="0" w:color="auto"/>
              <w:left w:val="nil"/>
              <w:bottom w:val="single" w:sz="4" w:space="0" w:color="000000"/>
              <w:right w:val="single" w:sz="4" w:space="0" w:color="000000"/>
              <w:tl2br w:val="nil"/>
              <w:tr2bl w:val="nil"/>
            </w:tcBorders>
            <w:shd w:val="clear" w:color="auto" w:fill="auto"/>
            <w:noWrap/>
            <w:vAlign w:val="center"/>
          </w:tcPr>
          <w:p w:rsidR="00B87C8A" w:rsidRDefault="002D1C8A">
            <w:pPr>
              <w:widowControl/>
              <w:jc w:val="right"/>
              <w:textAlignment w:val="center"/>
              <w:rPr>
                <w:rFonts w:ascii="宋体" w:hAnsi="宋体" w:cs="宋体" w:hint="default"/>
                <w:color w:val="000000"/>
                <w:sz w:val="22"/>
              </w:rPr>
            </w:pPr>
            <w:r>
              <w:rPr>
                <w:rFonts w:ascii="宋体" w:hAnsi="宋体" w:cs="宋体"/>
                <w:color w:val="000000"/>
                <w:kern w:val="0"/>
                <w:sz w:val="22"/>
              </w:rPr>
              <w:t>70,096.60</w:t>
            </w:r>
          </w:p>
        </w:tc>
        <w:tc>
          <w:tcPr>
            <w:tcW w:w="3984" w:type="dxa"/>
            <w:tcBorders>
              <w:top w:val="single" w:sz="4" w:space="0" w:color="auto"/>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textAlignment w:val="center"/>
              <w:rPr>
                <w:rFonts w:ascii="宋体" w:hAnsi="宋体" w:cs="宋体" w:hint="default"/>
                <w:b/>
                <w:color w:val="000000"/>
                <w:sz w:val="22"/>
              </w:rPr>
            </w:pPr>
            <w:r>
              <w:rPr>
                <w:rFonts w:ascii="宋体" w:hAnsi="宋体" w:cs="宋体"/>
                <w:b/>
                <w:color w:val="000000"/>
                <w:kern w:val="0"/>
                <w:sz w:val="22"/>
              </w:rPr>
              <w:t>本年支出合计</w:t>
            </w:r>
          </w:p>
        </w:tc>
        <w:tc>
          <w:tcPr>
            <w:tcW w:w="1872" w:type="dxa"/>
            <w:tcBorders>
              <w:top w:val="single" w:sz="4" w:space="0" w:color="auto"/>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58</w:t>
            </w:r>
          </w:p>
        </w:tc>
        <w:tc>
          <w:tcPr>
            <w:tcW w:w="1944" w:type="dxa"/>
            <w:tcBorders>
              <w:top w:val="single" w:sz="4" w:space="0" w:color="auto"/>
              <w:left w:val="nil"/>
              <w:bottom w:val="single" w:sz="4" w:space="0" w:color="000000"/>
              <w:right w:val="single" w:sz="4" w:space="0" w:color="000000"/>
              <w:tl2br w:val="nil"/>
              <w:tr2bl w:val="nil"/>
            </w:tcBorders>
            <w:noWrap/>
            <w:vAlign w:val="center"/>
          </w:tcPr>
          <w:p w:rsidR="00B87C8A" w:rsidRDefault="002D1C8A">
            <w:pPr>
              <w:widowControl/>
              <w:jc w:val="right"/>
              <w:textAlignment w:val="center"/>
              <w:rPr>
                <w:rFonts w:ascii="宋体" w:hAnsi="宋体" w:cs="宋体" w:hint="default"/>
                <w:color w:val="000000"/>
                <w:sz w:val="22"/>
              </w:rPr>
            </w:pPr>
            <w:r>
              <w:rPr>
                <w:rFonts w:ascii="宋体" w:hAnsi="宋体" w:cs="宋体"/>
                <w:color w:val="000000"/>
                <w:kern w:val="0"/>
                <w:sz w:val="22"/>
              </w:rPr>
              <w:t>60,963.33</w:t>
            </w:r>
          </w:p>
        </w:tc>
      </w:tr>
      <w:tr w:rsidR="00B87C8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textAlignment w:val="center"/>
              <w:rPr>
                <w:rFonts w:ascii="宋体" w:hAnsi="宋体" w:cs="宋体" w:hint="default"/>
                <w:color w:val="000000"/>
                <w:sz w:val="22"/>
              </w:rPr>
            </w:pPr>
            <w:r>
              <w:rPr>
                <w:rFonts w:ascii="宋体" w:hAnsi="宋体" w:cs="宋体"/>
                <w:color w:val="000000"/>
                <w:kern w:val="0"/>
                <w:sz w:val="22"/>
              </w:rPr>
              <w:t>使用非财政拨款结余</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28</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2D1C8A">
            <w:pPr>
              <w:widowControl/>
              <w:jc w:val="right"/>
              <w:textAlignment w:val="center"/>
              <w:rPr>
                <w:rFonts w:ascii="宋体" w:hAnsi="宋体" w:cs="宋体" w:hint="default"/>
                <w:color w:val="000000"/>
                <w:sz w:val="22"/>
              </w:rPr>
            </w:pPr>
            <w:r>
              <w:rPr>
                <w:rFonts w:ascii="宋体" w:hAnsi="宋体" w:cs="宋体"/>
                <w:color w:val="000000"/>
                <w:kern w:val="0"/>
                <w:sz w:val="22"/>
              </w:rPr>
              <w:t>7,759.40</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结余分配</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59</w:t>
            </w:r>
          </w:p>
        </w:tc>
        <w:tc>
          <w:tcPr>
            <w:tcW w:w="1944" w:type="dxa"/>
            <w:tcBorders>
              <w:top w:val="nil"/>
              <w:left w:val="nil"/>
              <w:bottom w:val="single" w:sz="4" w:space="0" w:color="000000"/>
              <w:right w:val="single" w:sz="4" w:space="0" w:color="000000"/>
              <w:tl2br w:val="nil"/>
              <w:tr2bl w:val="nil"/>
            </w:tcBorders>
            <w:noWrap/>
            <w:vAlign w:val="center"/>
          </w:tcPr>
          <w:p w:rsidR="00B87C8A" w:rsidRDefault="00B87C8A">
            <w:pPr>
              <w:jc w:val="right"/>
              <w:rPr>
                <w:rFonts w:ascii="宋体" w:hAnsi="宋体" w:cs="宋体" w:hint="default"/>
                <w:color w:val="000000"/>
                <w:sz w:val="22"/>
              </w:rPr>
            </w:pPr>
          </w:p>
        </w:tc>
      </w:tr>
      <w:tr w:rsidR="00B87C8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textAlignment w:val="center"/>
              <w:rPr>
                <w:rFonts w:ascii="宋体" w:hAnsi="宋体" w:cs="宋体" w:hint="default"/>
                <w:color w:val="000000"/>
                <w:sz w:val="22"/>
              </w:rPr>
            </w:pPr>
            <w:r>
              <w:rPr>
                <w:rFonts w:ascii="宋体" w:hAnsi="宋体" w:cs="宋体"/>
                <w:color w:val="000000"/>
                <w:kern w:val="0"/>
                <w:sz w:val="22"/>
              </w:rPr>
              <w:t>年初结转和结余</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29</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2D1C8A">
            <w:pPr>
              <w:widowControl/>
              <w:jc w:val="right"/>
              <w:textAlignment w:val="center"/>
              <w:rPr>
                <w:rFonts w:ascii="宋体" w:hAnsi="宋体" w:cs="宋体" w:hint="default"/>
                <w:color w:val="000000"/>
                <w:sz w:val="22"/>
              </w:rPr>
            </w:pPr>
            <w:r>
              <w:rPr>
                <w:rFonts w:ascii="宋体" w:hAnsi="宋体" w:cs="宋体"/>
                <w:color w:val="000000"/>
                <w:kern w:val="0"/>
                <w:sz w:val="22"/>
              </w:rPr>
              <w:t>920.81</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年末结转和结余</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60</w:t>
            </w:r>
          </w:p>
        </w:tc>
        <w:tc>
          <w:tcPr>
            <w:tcW w:w="1944" w:type="dxa"/>
            <w:tcBorders>
              <w:top w:val="nil"/>
              <w:left w:val="nil"/>
              <w:bottom w:val="single" w:sz="4" w:space="0" w:color="000000"/>
              <w:right w:val="single" w:sz="4" w:space="0" w:color="000000"/>
              <w:tl2br w:val="nil"/>
              <w:tr2bl w:val="nil"/>
            </w:tcBorders>
            <w:noWrap/>
            <w:vAlign w:val="center"/>
          </w:tcPr>
          <w:p w:rsidR="00B87C8A" w:rsidRDefault="002D1C8A">
            <w:pPr>
              <w:widowControl/>
              <w:jc w:val="right"/>
              <w:textAlignment w:val="center"/>
              <w:rPr>
                <w:rFonts w:ascii="宋体" w:hAnsi="宋体" w:cs="宋体" w:hint="default"/>
                <w:color w:val="000000"/>
                <w:sz w:val="22"/>
              </w:rPr>
            </w:pPr>
            <w:r>
              <w:rPr>
                <w:rFonts w:ascii="宋体" w:hAnsi="宋体" w:cs="宋体"/>
                <w:color w:val="000000"/>
                <w:kern w:val="0"/>
                <w:sz w:val="22"/>
              </w:rPr>
              <w:t>17,813.48</w:t>
            </w:r>
          </w:p>
        </w:tc>
      </w:tr>
      <w:tr w:rsidR="00B87C8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rPr>
                <w:rFonts w:ascii="宋体" w:hAnsi="宋体" w:cs="宋体" w:hint="default"/>
                <w:color w:val="000000"/>
                <w:sz w:val="20"/>
                <w:szCs w:val="20"/>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30</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jc w:val="right"/>
              <w:rPr>
                <w:rFonts w:ascii="宋体" w:hAnsi="宋体" w:cs="宋体" w:hint="default"/>
                <w:color w:val="000000"/>
                <w:sz w:val="20"/>
                <w:szCs w:val="20"/>
              </w:rPr>
            </w:pP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0"/>
                <w:szCs w:val="20"/>
              </w:rPr>
            </w:pP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61</w:t>
            </w:r>
          </w:p>
        </w:tc>
        <w:tc>
          <w:tcPr>
            <w:tcW w:w="1944" w:type="dxa"/>
            <w:tcBorders>
              <w:top w:val="nil"/>
              <w:left w:val="nil"/>
              <w:bottom w:val="single" w:sz="4" w:space="0" w:color="000000"/>
              <w:right w:val="single" w:sz="4" w:space="0" w:color="000000"/>
              <w:tl2br w:val="nil"/>
              <w:tr2bl w:val="nil"/>
            </w:tcBorders>
            <w:noWrap/>
            <w:vAlign w:val="center"/>
          </w:tcPr>
          <w:p w:rsidR="00B87C8A" w:rsidRDefault="00B87C8A">
            <w:pPr>
              <w:jc w:val="left"/>
              <w:rPr>
                <w:rFonts w:ascii="宋体" w:hAnsi="宋体" w:cs="宋体" w:hint="default"/>
                <w:color w:val="000000"/>
                <w:sz w:val="20"/>
                <w:szCs w:val="20"/>
              </w:rPr>
            </w:pPr>
          </w:p>
        </w:tc>
      </w:tr>
      <w:tr w:rsidR="00B87C8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textAlignment w:val="center"/>
              <w:rPr>
                <w:rFonts w:ascii="宋体" w:hAnsi="宋体" w:cs="宋体" w:hint="default"/>
                <w:b/>
                <w:color w:val="000000"/>
                <w:sz w:val="22"/>
              </w:rPr>
            </w:pPr>
            <w:r>
              <w:rPr>
                <w:rFonts w:ascii="宋体" w:hAnsi="宋体" w:cs="宋体"/>
                <w:b/>
                <w:color w:val="000000"/>
                <w:kern w:val="0"/>
                <w:sz w:val="22"/>
              </w:rPr>
              <w:t>总计</w:t>
            </w:r>
          </w:p>
        </w:tc>
        <w:tc>
          <w:tcPr>
            <w:tcW w:w="1656" w:type="dxa"/>
            <w:tcBorders>
              <w:top w:val="nil"/>
              <w:left w:val="nil"/>
              <w:bottom w:val="single" w:sz="8"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31</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2D1C8A">
            <w:pPr>
              <w:widowControl/>
              <w:jc w:val="right"/>
              <w:textAlignment w:val="center"/>
              <w:rPr>
                <w:rFonts w:ascii="宋体" w:hAnsi="宋体" w:cs="宋体" w:hint="default"/>
                <w:color w:val="000000"/>
                <w:sz w:val="22"/>
              </w:rPr>
            </w:pPr>
            <w:r>
              <w:rPr>
                <w:rFonts w:ascii="宋体" w:hAnsi="宋体" w:cs="宋体"/>
                <w:color w:val="000000"/>
                <w:kern w:val="0"/>
                <w:sz w:val="22"/>
              </w:rPr>
              <w:t>78,776.81</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textAlignment w:val="center"/>
              <w:rPr>
                <w:rFonts w:ascii="宋体" w:hAnsi="宋体" w:cs="宋体" w:hint="default"/>
                <w:b/>
                <w:color w:val="000000"/>
                <w:sz w:val="22"/>
              </w:rPr>
            </w:pPr>
            <w:r>
              <w:rPr>
                <w:rFonts w:ascii="宋体" w:hAnsi="宋体" w:cs="宋体"/>
                <w:b/>
                <w:color w:val="000000"/>
                <w:kern w:val="0"/>
                <w:sz w:val="22"/>
              </w:rPr>
              <w:t>总计</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62</w:t>
            </w:r>
          </w:p>
        </w:tc>
        <w:tc>
          <w:tcPr>
            <w:tcW w:w="1944" w:type="dxa"/>
            <w:tcBorders>
              <w:top w:val="nil"/>
              <w:left w:val="nil"/>
              <w:bottom w:val="single" w:sz="4" w:space="0" w:color="000000"/>
              <w:right w:val="single" w:sz="4" w:space="0" w:color="000000"/>
              <w:tl2br w:val="nil"/>
              <w:tr2bl w:val="nil"/>
            </w:tcBorders>
            <w:noWrap/>
            <w:vAlign w:val="center"/>
          </w:tcPr>
          <w:p w:rsidR="00B87C8A" w:rsidRDefault="002D1C8A">
            <w:pPr>
              <w:widowControl/>
              <w:jc w:val="right"/>
              <w:textAlignment w:val="center"/>
              <w:rPr>
                <w:rFonts w:ascii="宋体" w:hAnsi="宋体" w:cs="宋体" w:hint="default"/>
                <w:color w:val="000000"/>
                <w:sz w:val="22"/>
              </w:rPr>
            </w:pPr>
            <w:r>
              <w:rPr>
                <w:rFonts w:ascii="宋体" w:hAnsi="宋体" w:cs="宋体"/>
                <w:color w:val="000000"/>
                <w:kern w:val="0"/>
                <w:sz w:val="22"/>
              </w:rPr>
              <w:t>78,776.81</w:t>
            </w:r>
          </w:p>
        </w:tc>
      </w:tr>
      <w:tr w:rsidR="00B87C8A">
        <w:trPr>
          <w:trHeight w:val="308"/>
        </w:trPr>
        <w:tc>
          <w:tcPr>
            <w:tcW w:w="15224" w:type="dxa"/>
            <w:gridSpan w:val="6"/>
            <w:tcBorders>
              <w:top w:val="nil"/>
              <w:left w:val="nil"/>
              <w:bottom w:val="nil"/>
              <w:right w:val="nil"/>
              <w:tl2br w:val="nil"/>
              <w:tr2bl w:val="nil"/>
            </w:tcBorders>
            <w:noWrap/>
            <w:vAlign w:val="center"/>
          </w:tcPr>
          <w:p w:rsidR="00B87C8A" w:rsidRDefault="002D1C8A">
            <w:pPr>
              <w:widowControl/>
              <w:jc w:val="left"/>
              <w:textAlignment w:val="center"/>
              <w:rPr>
                <w:rFonts w:ascii="宋体" w:hAnsi="宋体" w:cs="宋体" w:hint="default"/>
                <w:color w:val="000000"/>
                <w:sz w:val="22"/>
              </w:rPr>
            </w:pPr>
            <w:r>
              <w:rPr>
                <w:rFonts w:ascii="宋体" w:hAnsi="宋体" w:cs="宋体"/>
                <w:color w:val="000000"/>
                <w:kern w:val="0"/>
                <w:sz w:val="22"/>
              </w:rPr>
              <w:t>注：本表反映部门本年度的总收支和年末结转结余情况。本套报表金额单位转换时可能存在尾数误差。</w:t>
            </w:r>
          </w:p>
        </w:tc>
      </w:tr>
    </w:tbl>
    <w:p w:rsidR="00B87C8A" w:rsidRDefault="00B87C8A">
      <w:pPr>
        <w:widowControl/>
        <w:spacing w:line="600" w:lineRule="exact"/>
        <w:ind w:firstLine="0"/>
        <w:jc w:val="center"/>
        <w:rPr>
          <w:rFonts w:ascii="黑体" w:eastAsia="黑体" w:hAnsi="Times New Roman" w:cs="黑体" w:hint="default"/>
          <w:sz w:val="32"/>
          <w:szCs w:val="32"/>
        </w:rPr>
        <w:sectPr w:rsidR="00B87C8A">
          <w:pgSz w:w="16838" w:h="11906" w:orient="landscape"/>
          <w:pgMar w:top="720" w:right="873" w:bottom="720" w:left="720" w:header="720" w:footer="720" w:gutter="0"/>
          <w:cols w:space="720"/>
        </w:sectPr>
      </w:pPr>
    </w:p>
    <w:tbl>
      <w:tblPr>
        <w:tblW w:w="15202" w:type="dxa"/>
        <w:tblInd w:w="96" w:type="dxa"/>
        <w:tblLayout w:type="fixed"/>
        <w:tblLook w:val="04A0"/>
      </w:tblPr>
      <w:tblGrid>
        <w:gridCol w:w="1468"/>
        <w:gridCol w:w="2928"/>
        <w:gridCol w:w="1608"/>
        <w:gridCol w:w="1464"/>
        <w:gridCol w:w="1560"/>
        <w:gridCol w:w="1440"/>
        <w:gridCol w:w="1320"/>
        <w:gridCol w:w="1656"/>
        <w:gridCol w:w="1698"/>
        <w:gridCol w:w="60"/>
      </w:tblGrid>
      <w:tr w:rsidR="00B87C8A">
        <w:trPr>
          <w:gridAfter w:val="1"/>
          <w:wAfter w:w="60" w:type="dxa"/>
          <w:trHeight w:val="384"/>
        </w:trPr>
        <w:tc>
          <w:tcPr>
            <w:tcW w:w="15142" w:type="dxa"/>
            <w:gridSpan w:val="9"/>
            <w:tcBorders>
              <w:top w:val="nil"/>
              <w:left w:val="nil"/>
              <w:bottom w:val="nil"/>
              <w:right w:val="nil"/>
              <w:tl2br w:val="nil"/>
              <w:tr2bl w:val="nil"/>
            </w:tcBorders>
            <w:noWrap/>
            <w:vAlign w:val="bottom"/>
          </w:tcPr>
          <w:p w:rsidR="00B87C8A" w:rsidRDefault="002D1C8A">
            <w:pPr>
              <w:widowControl/>
              <w:tabs>
                <w:tab w:val="left" w:pos="1470"/>
              </w:tabs>
              <w:ind w:firstLine="0"/>
              <w:jc w:val="center"/>
              <w:textAlignment w:val="bottom"/>
              <w:rPr>
                <w:rFonts w:ascii="宋体" w:hAnsi="宋体" w:cs="宋体" w:hint="default"/>
                <w:color w:val="000000"/>
                <w:sz w:val="30"/>
                <w:szCs w:val="30"/>
              </w:rPr>
            </w:pPr>
            <w:r>
              <w:rPr>
                <w:rFonts w:ascii="宋体" w:hAnsi="宋体" w:cs="宋体"/>
                <w:color w:val="000000"/>
                <w:kern w:val="0"/>
                <w:sz w:val="30"/>
                <w:szCs w:val="30"/>
              </w:rPr>
              <w:lastRenderedPageBreak/>
              <w:t>二、收入决算表</w:t>
            </w:r>
          </w:p>
        </w:tc>
      </w:tr>
      <w:tr w:rsidR="00B87C8A">
        <w:trPr>
          <w:trHeight w:val="288"/>
        </w:trPr>
        <w:tc>
          <w:tcPr>
            <w:tcW w:w="1468"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2928"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1608"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1464"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1560"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1440"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1320"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1656"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1758" w:type="dxa"/>
            <w:gridSpan w:val="2"/>
            <w:tcBorders>
              <w:top w:val="nil"/>
              <w:left w:val="nil"/>
              <w:bottom w:val="nil"/>
              <w:right w:val="nil"/>
              <w:tl2br w:val="nil"/>
              <w:tr2bl w:val="nil"/>
            </w:tcBorders>
            <w:noWrap/>
            <w:vAlign w:val="bottom"/>
          </w:tcPr>
          <w:p w:rsidR="00B87C8A" w:rsidRDefault="002D1C8A">
            <w:pPr>
              <w:widowControl/>
              <w:jc w:val="center"/>
              <w:textAlignment w:val="bottom"/>
              <w:rPr>
                <w:rFonts w:ascii="宋体" w:hAnsi="宋体" w:cs="宋体" w:hint="default"/>
                <w:color w:val="000000"/>
                <w:sz w:val="20"/>
                <w:szCs w:val="20"/>
              </w:rPr>
            </w:pPr>
            <w:r>
              <w:rPr>
                <w:rFonts w:ascii="宋体" w:hAnsi="宋体" w:cs="宋体"/>
                <w:color w:val="000000"/>
                <w:kern w:val="0"/>
                <w:sz w:val="20"/>
                <w:szCs w:val="20"/>
              </w:rPr>
              <w:t>公开02表</w:t>
            </w:r>
          </w:p>
        </w:tc>
      </w:tr>
      <w:tr w:rsidR="00B87C8A">
        <w:trPr>
          <w:trHeight w:val="264"/>
        </w:trPr>
        <w:tc>
          <w:tcPr>
            <w:tcW w:w="4396" w:type="dxa"/>
            <w:gridSpan w:val="2"/>
            <w:tcBorders>
              <w:top w:val="nil"/>
              <w:left w:val="nil"/>
              <w:bottom w:val="nil"/>
              <w:right w:val="nil"/>
              <w:tl2br w:val="nil"/>
              <w:tr2bl w:val="nil"/>
            </w:tcBorders>
            <w:noWrap/>
            <w:vAlign w:val="bottom"/>
          </w:tcPr>
          <w:p w:rsidR="00B87C8A" w:rsidRDefault="002D1C8A">
            <w:pPr>
              <w:rPr>
                <w:rFonts w:ascii="Arial" w:hAnsi="Arial" w:cs="Arial" w:hint="default"/>
                <w:color w:val="000000"/>
                <w:sz w:val="20"/>
                <w:szCs w:val="20"/>
              </w:rPr>
            </w:pPr>
            <w:r>
              <w:rPr>
                <w:rFonts w:ascii="宋体" w:hAnsi="宋体" w:cs="宋体"/>
                <w:color w:val="000000"/>
                <w:kern w:val="0"/>
                <w:sz w:val="20"/>
                <w:szCs w:val="20"/>
              </w:rPr>
              <w:t>部门：吉首大学</w:t>
            </w:r>
          </w:p>
        </w:tc>
        <w:tc>
          <w:tcPr>
            <w:tcW w:w="1608"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1464"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1560"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1440"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1320"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1656"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1758" w:type="dxa"/>
            <w:gridSpan w:val="2"/>
            <w:tcBorders>
              <w:top w:val="nil"/>
              <w:left w:val="nil"/>
              <w:bottom w:val="nil"/>
              <w:right w:val="nil"/>
              <w:tl2br w:val="nil"/>
              <w:tr2bl w:val="nil"/>
            </w:tcBorders>
            <w:noWrap/>
            <w:vAlign w:val="bottom"/>
          </w:tcPr>
          <w:p w:rsidR="00B87C8A" w:rsidRDefault="002D1C8A">
            <w:pPr>
              <w:widowControl/>
              <w:ind w:firstLine="0"/>
              <w:textAlignment w:val="bottom"/>
              <w:rPr>
                <w:rFonts w:ascii="宋体" w:hAnsi="宋体" w:cs="宋体" w:hint="default"/>
                <w:color w:val="000000"/>
                <w:sz w:val="20"/>
                <w:szCs w:val="20"/>
              </w:rPr>
            </w:pPr>
            <w:r>
              <w:rPr>
                <w:rFonts w:ascii="宋体" w:hAnsi="宋体" w:cs="宋体"/>
                <w:color w:val="000000"/>
                <w:kern w:val="0"/>
                <w:sz w:val="20"/>
                <w:szCs w:val="20"/>
              </w:rPr>
              <w:t>金额单位：万元</w:t>
            </w:r>
          </w:p>
        </w:tc>
      </w:tr>
      <w:tr w:rsidR="00B87C8A">
        <w:trPr>
          <w:trHeight w:val="308"/>
        </w:trPr>
        <w:tc>
          <w:tcPr>
            <w:tcW w:w="4396" w:type="dxa"/>
            <w:gridSpan w:val="2"/>
            <w:tcBorders>
              <w:top w:val="single" w:sz="4" w:space="0" w:color="000000"/>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textAlignment w:val="center"/>
              <w:rPr>
                <w:rFonts w:ascii="宋体" w:hAnsi="宋体" w:cs="宋体" w:hint="default"/>
                <w:color w:val="000000"/>
                <w:sz w:val="22"/>
              </w:rPr>
            </w:pPr>
            <w:r>
              <w:rPr>
                <w:rFonts w:ascii="宋体" w:hAnsi="宋体" w:cs="宋体"/>
                <w:color w:val="000000"/>
                <w:kern w:val="0"/>
                <w:sz w:val="22"/>
              </w:rPr>
              <w:t>项目</w:t>
            </w:r>
          </w:p>
        </w:tc>
        <w:tc>
          <w:tcPr>
            <w:tcW w:w="1608" w:type="dxa"/>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textAlignment w:val="center"/>
              <w:rPr>
                <w:rFonts w:ascii="宋体" w:hAnsi="宋体" w:cs="宋体" w:hint="default"/>
                <w:color w:val="000000"/>
                <w:sz w:val="22"/>
              </w:rPr>
            </w:pPr>
            <w:r>
              <w:rPr>
                <w:rFonts w:ascii="宋体" w:hAnsi="宋体" w:cs="宋体"/>
                <w:color w:val="000000"/>
                <w:kern w:val="0"/>
                <w:sz w:val="22"/>
              </w:rPr>
              <w:t>本年收入合计</w:t>
            </w:r>
          </w:p>
        </w:tc>
        <w:tc>
          <w:tcPr>
            <w:tcW w:w="1464" w:type="dxa"/>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textAlignment w:val="center"/>
              <w:rPr>
                <w:rFonts w:ascii="宋体" w:hAnsi="宋体" w:cs="宋体" w:hint="default"/>
                <w:color w:val="000000"/>
                <w:sz w:val="22"/>
              </w:rPr>
            </w:pPr>
            <w:r>
              <w:rPr>
                <w:rFonts w:ascii="宋体" w:hAnsi="宋体" w:cs="宋体"/>
                <w:color w:val="000000"/>
                <w:kern w:val="0"/>
                <w:sz w:val="22"/>
              </w:rPr>
              <w:t>财政拨款收入</w:t>
            </w:r>
          </w:p>
        </w:tc>
        <w:tc>
          <w:tcPr>
            <w:tcW w:w="1560" w:type="dxa"/>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textAlignment w:val="center"/>
              <w:rPr>
                <w:rFonts w:ascii="宋体" w:hAnsi="宋体" w:cs="宋体" w:hint="default"/>
                <w:color w:val="000000"/>
                <w:sz w:val="22"/>
              </w:rPr>
            </w:pPr>
            <w:r>
              <w:rPr>
                <w:rFonts w:ascii="宋体" w:hAnsi="宋体" w:cs="宋体"/>
                <w:color w:val="000000"/>
                <w:kern w:val="0"/>
                <w:sz w:val="22"/>
              </w:rPr>
              <w:t>上级补助收入</w:t>
            </w:r>
          </w:p>
        </w:tc>
        <w:tc>
          <w:tcPr>
            <w:tcW w:w="1440" w:type="dxa"/>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textAlignment w:val="center"/>
              <w:rPr>
                <w:rFonts w:ascii="宋体" w:hAnsi="宋体" w:cs="宋体" w:hint="default"/>
                <w:color w:val="000000"/>
                <w:sz w:val="22"/>
              </w:rPr>
            </w:pPr>
            <w:r>
              <w:rPr>
                <w:rFonts w:ascii="宋体" w:hAnsi="宋体" w:cs="宋体"/>
                <w:color w:val="000000"/>
                <w:kern w:val="0"/>
                <w:sz w:val="22"/>
              </w:rPr>
              <w:t>事业收入</w:t>
            </w:r>
          </w:p>
        </w:tc>
        <w:tc>
          <w:tcPr>
            <w:tcW w:w="1320" w:type="dxa"/>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textAlignment w:val="center"/>
              <w:rPr>
                <w:rFonts w:ascii="宋体" w:hAnsi="宋体" w:cs="宋体" w:hint="default"/>
                <w:color w:val="000000"/>
                <w:sz w:val="22"/>
              </w:rPr>
            </w:pPr>
            <w:r>
              <w:rPr>
                <w:rFonts w:ascii="宋体" w:hAnsi="宋体" w:cs="宋体"/>
                <w:color w:val="000000"/>
                <w:kern w:val="0"/>
                <w:sz w:val="22"/>
              </w:rPr>
              <w:t>经营收入</w:t>
            </w:r>
          </w:p>
        </w:tc>
        <w:tc>
          <w:tcPr>
            <w:tcW w:w="1656" w:type="dxa"/>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textAlignment w:val="center"/>
              <w:rPr>
                <w:rFonts w:ascii="宋体" w:hAnsi="宋体" w:cs="宋体" w:hint="default"/>
                <w:color w:val="000000"/>
                <w:sz w:val="22"/>
              </w:rPr>
            </w:pPr>
            <w:r>
              <w:rPr>
                <w:rFonts w:ascii="宋体" w:hAnsi="宋体" w:cs="宋体"/>
                <w:color w:val="000000"/>
                <w:kern w:val="0"/>
                <w:sz w:val="22"/>
              </w:rPr>
              <w:t>附属单位上缴收入</w:t>
            </w:r>
          </w:p>
        </w:tc>
        <w:tc>
          <w:tcPr>
            <w:tcW w:w="1758" w:type="dxa"/>
            <w:gridSpan w:val="2"/>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widowControl/>
              <w:jc w:val="center"/>
              <w:textAlignment w:val="center"/>
              <w:rPr>
                <w:rFonts w:ascii="宋体" w:hAnsi="宋体" w:cs="宋体" w:hint="default"/>
                <w:color w:val="000000"/>
                <w:sz w:val="22"/>
              </w:rPr>
            </w:pPr>
            <w:r>
              <w:rPr>
                <w:rFonts w:ascii="宋体" w:hAnsi="宋体" w:cs="宋体"/>
                <w:color w:val="000000"/>
                <w:kern w:val="0"/>
                <w:sz w:val="22"/>
              </w:rPr>
              <w:t>其他收入</w:t>
            </w:r>
          </w:p>
        </w:tc>
      </w:tr>
      <w:tr w:rsidR="00B87C8A">
        <w:trPr>
          <w:trHeight w:val="308"/>
        </w:trPr>
        <w:tc>
          <w:tcPr>
            <w:tcW w:w="1468" w:type="dxa"/>
            <w:vMerge w:val="restart"/>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textAlignment w:val="center"/>
              <w:rPr>
                <w:rFonts w:ascii="宋体" w:hAnsi="宋体" w:cs="宋体" w:hint="default"/>
                <w:color w:val="000000"/>
                <w:sz w:val="22"/>
              </w:rPr>
            </w:pPr>
            <w:r>
              <w:rPr>
                <w:rFonts w:ascii="宋体" w:hAnsi="宋体" w:cs="宋体"/>
                <w:color w:val="000000"/>
                <w:kern w:val="0"/>
                <w:sz w:val="22"/>
              </w:rPr>
              <w:t>功能分类科目编码</w:t>
            </w:r>
          </w:p>
        </w:tc>
        <w:tc>
          <w:tcPr>
            <w:tcW w:w="2928"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textAlignment w:val="center"/>
              <w:rPr>
                <w:rFonts w:ascii="宋体" w:hAnsi="宋体" w:cs="宋体" w:hint="default"/>
                <w:color w:val="000000"/>
                <w:sz w:val="22"/>
              </w:rPr>
            </w:pPr>
            <w:r>
              <w:rPr>
                <w:rFonts w:ascii="宋体" w:hAnsi="宋体" w:cs="宋体"/>
                <w:color w:val="000000"/>
                <w:kern w:val="0"/>
                <w:sz w:val="22"/>
              </w:rPr>
              <w:t>科目名称</w:t>
            </w:r>
          </w:p>
        </w:tc>
        <w:tc>
          <w:tcPr>
            <w:tcW w:w="1608"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rFonts w:ascii="宋体" w:hAnsi="宋体" w:cs="宋体" w:hint="default"/>
                <w:color w:val="000000"/>
                <w:sz w:val="22"/>
              </w:rPr>
            </w:pPr>
          </w:p>
        </w:tc>
        <w:tc>
          <w:tcPr>
            <w:tcW w:w="1464"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rFonts w:ascii="宋体" w:hAnsi="宋体" w:cs="宋体" w:hint="default"/>
                <w:color w:val="000000"/>
                <w:sz w:val="22"/>
              </w:rPr>
            </w:pPr>
          </w:p>
        </w:tc>
        <w:tc>
          <w:tcPr>
            <w:tcW w:w="156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rFonts w:ascii="宋体" w:hAnsi="宋体" w:cs="宋体" w:hint="default"/>
                <w:color w:val="000000"/>
                <w:sz w:val="22"/>
              </w:rPr>
            </w:pPr>
          </w:p>
        </w:tc>
        <w:tc>
          <w:tcPr>
            <w:tcW w:w="144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rFonts w:ascii="宋体" w:hAnsi="宋体" w:cs="宋体" w:hint="default"/>
                <w:color w:val="000000"/>
                <w:sz w:val="22"/>
              </w:rPr>
            </w:pPr>
          </w:p>
        </w:tc>
        <w:tc>
          <w:tcPr>
            <w:tcW w:w="132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rFonts w:ascii="宋体" w:hAnsi="宋体" w:cs="宋体" w:hint="default"/>
                <w:color w:val="000000"/>
                <w:sz w:val="22"/>
              </w:rPr>
            </w:pPr>
          </w:p>
        </w:tc>
        <w:tc>
          <w:tcPr>
            <w:tcW w:w="1656"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rFonts w:ascii="宋体" w:hAnsi="宋体" w:cs="宋体" w:hint="default"/>
                <w:color w:val="000000"/>
                <w:sz w:val="22"/>
              </w:rPr>
            </w:pPr>
          </w:p>
        </w:tc>
        <w:tc>
          <w:tcPr>
            <w:tcW w:w="1758"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rFonts w:ascii="宋体" w:hAnsi="宋体" w:cs="宋体" w:hint="default"/>
                <w:color w:val="000000"/>
                <w:sz w:val="22"/>
              </w:rPr>
            </w:pPr>
          </w:p>
        </w:tc>
      </w:tr>
      <w:tr w:rsidR="00B87C8A">
        <w:trPr>
          <w:trHeight w:val="308"/>
        </w:trPr>
        <w:tc>
          <w:tcPr>
            <w:tcW w:w="1468" w:type="dxa"/>
            <w:vMerge/>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jc w:val="center"/>
              <w:rPr>
                <w:rFonts w:ascii="宋体" w:hAnsi="宋体" w:cs="宋体" w:hint="default"/>
                <w:color w:val="000000"/>
                <w:sz w:val="22"/>
              </w:rPr>
            </w:pPr>
          </w:p>
        </w:tc>
        <w:tc>
          <w:tcPr>
            <w:tcW w:w="2928"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rFonts w:ascii="宋体" w:hAnsi="宋体" w:cs="宋体" w:hint="default"/>
                <w:color w:val="000000"/>
                <w:sz w:val="22"/>
              </w:rPr>
            </w:pPr>
          </w:p>
        </w:tc>
        <w:tc>
          <w:tcPr>
            <w:tcW w:w="1608"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rFonts w:ascii="宋体" w:hAnsi="宋体" w:cs="宋体" w:hint="default"/>
                <w:color w:val="000000"/>
                <w:sz w:val="22"/>
              </w:rPr>
            </w:pPr>
          </w:p>
        </w:tc>
        <w:tc>
          <w:tcPr>
            <w:tcW w:w="1464"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rFonts w:ascii="宋体" w:hAnsi="宋体" w:cs="宋体" w:hint="default"/>
                <w:color w:val="000000"/>
                <w:sz w:val="22"/>
              </w:rPr>
            </w:pPr>
          </w:p>
        </w:tc>
        <w:tc>
          <w:tcPr>
            <w:tcW w:w="156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rFonts w:ascii="宋体" w:hAnsi="宋体" w:cs="宋体" w:hint="default"/>
                <w:color w:val="000000"/>
                <w:sz w:val="22"/>
              </w:rPr>
            </w:pPr>
          </w:p>
        </w:tc>
        <w:tc>
          <w:tcPr>
            <w:tcW w:w="144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rFonts w:ascii="宋体" w:hAnsi="宋体" w:cs="宋体" w:hint="default"/>
                <w:color w:val="000000"/>
                <w:sz w:val="22"/>
              </w:rPr>
            </w:pPr>
          </w:p>
        </w:tc>
        <w:tc>
          <w:tcPr>
            <w:tcW w:w="132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rFonts w:ascii="宋体" w:hAnsi="宋体" w:cs="宋体" w:hint="default"/>
                <w:color w:val="000000"/>
                <w:sz w:val="22"/>
              </w:rPr>
            </w:pPr>
          </w:p>
        </w:tc>
        <w:tc>
          <w:tcPr>
            <w:tcW w:w="1656"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rFonts w:ascii="宋体" w:hAnsi="宋体" w:cs="宋体" w:hint="default"/>
                <w:color w:val="000000"/>
                <w:sz w:val="22"/>
              </w:rPr>
            </w:pPr>
          </w:p>
        </w:tc>
        <w:tc>
          <w:tcPr>
            <w:tcW w:w="1758"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rFonts w:ascii="宋体" w:hAnsi="宋体" w:cs="宋体" w:hint="default"/>
                <w:color w:val="000000"/>
                <w:sz w:val="22"/>
              </w:rPr>
            </w:pPr>
          </w:p>
        </w:tc>
      </w:tr>
      <w:tr w:rsidR="00B87C8A">
        <w:trPr>
          <w:trHeight w:val="308"/>
        </w:trPr>
        <w:tc>
          <w:tcPr>
            <w:tcW w:w="1468" w:type="dxa"/>
            <w:vMerge/>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jc w:val="center"/>
              <w:rPr>
                <w:rFonts w:ascii="宋体" w:hAnsi="宋体" w:cs="宋体" w:hint="default"/>
                <w:color w:val="000000"/>
                <w:sz w:val="22"/>
              </w:rPr>
            </w:pPr>
          </w:p>
        </w:tc>
        <w:tc>
          <w:tcPr>
            <w:tcW w:w="2928"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rFonts w:ascii="宋体" w:hAnsi="宋体" w:cs="宋体" w:hint="default"/>
                <w:color w:val="000000"/>
                <w:sz w:val="22"/>
              </w:rPr>
            </w:pPr>
          </w:p>
        </w:tc>
        <w:tc>
          <w:tcPr>
            <w:tcW w:w="1608"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rFonts w:ascii="宋体" w:hAnsi="宋体" w:cs="宋体" w:hint="default"/>
                <w:color w:val="000000"/>
                <w:sz w:val="22"/>
              </w:rPr>
            </w:pPr>
          </w:p>
        </w:tc>
        <w:tc>
          <w:tcPr>
            <w:tcW w:w="1464"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rFonts w:ascii="宋体" w:hAnsi="宋体" w:cs="宋体" w:hint="default"/>
                <w:color w:val="000000"/>
                <w:sz w:val="22"/>
              </w:rPr>
            </w:pPr>
          </w:p>
        </w:tc>
        <w:tc>
          <w:tcPr>
            <w:tcW w:w="156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rFonts w:ascii="宋体" w:hAnsi="宋体" w:cs="宋体" w:hint="default"/>
                <w:color w:val="000000"/>
                <w:sz w:val="22"/>
              </w:rPr>
            </w:pPr>
          </w:p>
        </w:tc>
        <w:tc>
          <w:tcPr>
            <w:tcW w:w="144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rFonts w:ascii="宋体" w:hAnsi="宋体" w:cs="宋体" w:hint="default"/>
                <w:color w:val="000000"/>
                <w:sz w:val="22"/>
              </w:rPr>
            </w:pPr>
          </w:p>
        </w:tc>
        <w:tc>
          <w:tcPr>
            <w:tcW w:w="132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rFonts w:ascii="宋体" w:hAnsi="宋体" w:cs="宋体" w:hint="default"/>
                <w:color w:val="000000"/>
                <w:sz w:val="22"/>
              </w:rPr>
            </w:pPr>
          </w:p>
        </w:tc>
        <w:tc>
          <w:tcPr>
            <w:tcW w:w="1656"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rFonts w:ascii="宋体" w:hAnsi="宋体" w:cs="宋体" w:hint="default"/>
                <w:color w:val="000000"/>
                <w:sz w:val="22"/>
              </w:rPr>
            </w:pPr>
          </w:p>
        </w:tc>
        <w:tc>
          <w:tcPr>
            <w:tcW w:w="1758"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rFonts w:ascii="宋体" w:hAnsi="宋体" w:cs="宋体" w:hint="default"/>
                <w:color w:val="000000"/>
                <w:sz w:val="22"/>
              </w:rPr>
            </w:pPr>
          </w:p>
        </w:tc>
      </w:tr>
      <w:tr w:rsidR="00B87C8A">
        <w:trPr>
          <w:trHeight w:val="308"/>
        </w:trPr>
        <w:tc>
          <w:tcPr>
            <w:tcW w:w="4396" w:type="dxa"/>
            <w:gridSpan w:val="2"/>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jc w:val="center"/>
              <w:textAlignment w:val="center"/>
              <w:rPr>
                <w:rFonts w:ascii="宋体" w:hAnsi="宋体" w:cs="宋体" w:hint="default"/>
                <w:color w:val="000000"/>
                <w:sz w:val="22"/>
              </w:rPr>
            </w:pPr>
            <w:r>
              <w:rPr>
                <w:rFonts w:ascii="宋体" w:hAnsi="宋体" w:cs="宋体"/>
                <w:color w:val="000000"/>
                <w:kern w:val="0"/>
                <w:sz w:val="22"/>
              </w:rPr>
              <w:t>栏次</w:t>
            </w:r>
          </w:p>
        </w:tc>
        <w:tc>
          <w:tcPr>
            <w:tcW w:w="16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1</w:t>
            </w:r>
          </w:p>
        </w:tc>
        <w:tc>
          <w:tcPr>
            <w:tcW w:w="1464"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2</w:t>
            </w:r>
          </w:p>
        </w:tc>
        <w:tc>
          <w:tcPr>
            <w:tcW w:w="156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3</w:t>
            </w:r>
          </w:p>
        </w:tc>
        <w:tc>
          <w:tcPr>
            <w:tcW w:w="144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4</w:t>
            </w:r>
          </w:p>
        </w:tc>
        <w:tc>
          <w:tcPr>
            <w:tcW w:w="13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5</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6</w:t>
            </w:r>
          </w:p>
        </w:tc>
        <w:tc>
          <w:tcPr>
            <w:tcW w:w="1758" w:type="dxa"/>
            <w:gridSpan w:val="2"/>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7</w:t>
            </w:r>
          </w:p>
        </w:tc>
      </w:tr>
      <w:tr w:rsidR="00B87C8A">
        <w:trPr>
          <w:trHeight w:val="308"/>
        </w:trPr>
        <w:tc>
          <w:tcPr>
            <w:tcW w:w="4396" w:type="dxa"/>
            <w:gridSpan w:val="2"/>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jc w:val="center"/>
              <w:textAlignment w:val="center"/>
              <w:rPr>
                <w:rFonts w:ascii="宋体" w:hAnsi="宋体" w:cs="宋体" w:hint="default"/>
                <w:color w:val="000000"/>
                <w:sz w:val="22"/>
              </w:rPr>
            </w:pPr>
            <w:r>
              <w:rPr>
                <w:rFonts w:ascii="宋体" w:hAnsi="宋体" w:cs="宋体"/>
                <w:color w:val="000000"/>
                <w:kern w:val="0"/>
                <w:sz w:val="22"/>
              </w:rPr>
              <w:t>合计</w:t>
            </w:r>
          </w:p>
        </w:tc>
        <w:tc>
          <w:tcPr>
            <w:tcW w:w="160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b/>
                <w:color w:val="000000"/>
                <w:sz w:val="22"/>
              </w:rPr>
            </w:pPr>
            <w:r>
              <w:rPr>
                <w:rFonts w:ascii="宋体" w:hAnsi="宋体" w:cs="宋体"/>
                <w:b/>
                <w:color w:val="000000"/>
                <w:kern w:val="0"/>
                <w:sz w:val="22"/>
              </w:rPr>
              <w:t>70,096.60</w:t>
            </w:r>
          </w:p>
        </w:tc>
        <w:tc>
          <w:tcPr>
            <w:tcW w:w="1464"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b/>
                <w:color w:val="000000"/>
                <w:sz w:val="22"/>
              </w:rPr>
            </w:pPr>
            <w:r>
              <w:rPr>
                <w:rFonts w:ascii="宋体" w:hAnsi="宋体" w:cs="宋体"/>
                <w:b/>
                <w:color w:val="000000"/>
                <w:kern w:val="0"/>
                <w:sz w:val="22"/>
              </w:rPr>
              <w:t>54,107.59</w:t>
            </w:r>
          </w:p>
        </w:tc>
        <w:tc>
          <w:tcPr>
            <w:tcW w:w="15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b/>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b/>
                <w:color w:val="000000"/>
                <w:sz w:val="22"/>
              </w:rPr>
            </w:pPr>
            <w:r>
              <w:rPr>
                <w:rFonts w:ascii="宋体" w:hAnsi="宋体" w:cs="宋体"/>
                <w:b/>
                <w:color w:val="000000"/>
                <w:kern w:val="0"/>
                <w:sz w:val="22"/>
              </w:rPr>
              <w:t>13,125.34</w:t>
            </w: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b/>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b/>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b/>
                <w:color w:val="000000"/>
                <w:sz w:val="22"/>
              </w:rPr>
            </w:pPr>
            <w:r>
              <w:rPr>
                <w:rFonts w:ascii="宋体" w:hAnsi="宋体" w:cs="宋体"/>
                <w:b/>
                <w:color w:val="000000"/>
                <w:kern w:val="0"/>
                <w:sz w:val="22"/>
              </w:rPr>
              <w:t>2,863.67</w:t>
            </w:r>
          </w:p>
        </w:tc>
      </w:tr>
      <w:tr w:rsidR="00B87C8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201</w:t>
            </w:r>
          </w:p>
        </w:tc>
        <w:tc>
          <w:tcPr>
            <w:tcW w:w="292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一般公共服务支出</w:t>
            </w:r>
          </w:p>
        </w:tc>
        <w:tc>
          <w:tcPr>
            <w:tcW w:w="160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51.50</w:t>
            </w:r>
          </w:p>
        </w:tc>
        <w:tc>
          <w:tcPr>
            <w:tcW w:w="1464"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51.50</w:t>
            </w:r>
          </w:p>
        </w:tc>
        <w:tc>
          <w:tcPr>
            <w:tcW w:w="15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20123</w:t>
            </w:r>
          </w:p>
        </w:tc>
        <w:tc>
          <w:tcPr>
            <w:tcW w:w="292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民族事务</w:t>
            </w:r>
          </w:p>
        </w:tc>
        <w:tc>
          <w:tcPr>
            <w:tcW w:w="160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1464"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15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2012304</w:t>
            </w:r>
          </w:p>
        </w:tc>
        <w:tc>
          <w:tcPr>
            <w:tcW w:w="292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Chars="100" w:firstLine="220"/>
              <w:jc w:val="left"/>
              <w:textAlignment w:val="center"/>
              <w:rPr>
                <w:rFonts w:ascii="宋体" w:hAnsi="宋体" w:cs="宋体" w:hint="default"/>
                <w:color w:val="000000"/>
                <w:sz w:val="22"/>
              </w:rPr>
            </w:pPr>
            <w:r>
              <w:rPr>
                <w:rFonts w:ascii="宋体" w:hAnsi="宋体" w:cs="宋体"/>
                <w:color w:val="000000"/>
                <w:kern w:val="0"/>
                <w:sz w:val="22"/>
              </w:rPr>
              <w:t xml:space="preserve"> 民族工作专项</w:t>
            </w:r>
          </w:p>
        </w:tc>
        <w:tc>
          <w:tcPr>
            <w:tcW w:w="160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1464"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15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20129</w:t>
            </w:r>
          </w:p>
        </w:tc>
        <w:tc>
          <w:tcPr>
            <w:tcW w:w="292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群众团体事务</w:t>
            </w:r>
          </w:p>
        </w:tc>
        <w:tc>
          <w:tcPr>
            <w:tcW w:w="160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1.50</w:t>
            </w:r>
          </w:p>
        </w:tc>
        <w:tc>
          <w:tcPr>
            <w:tcW w:w="1464"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1.50</w:t>
            </w:r>
          </w:p>
        </w:tc>
        <w:tc>
          <w:tcPr>
            <w:tcW w:w="15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2012902</w:t>
            </w:r>
          </w:p>
        </w:tc>
        <w:tc>
          <w:tcPr>
            <w:tcW w:w="292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一般行政管理事务</w:t>
            </w:r>
          </w:p>
        </w:tc>
        <w:tc>
          <w:tcPr>
            <w:tcW w:w="160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1.50</w:t>
            </w:r>
          </w:p>
        </w:tc>
        <w:tc>
          <w:tcPr>
            <w:tcW w:w="1464"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1.50</w:t>
            </w:r>
          </w:p>
        </w:tc>
        <w:tc>
          <w:tcPr>
            <w:tcW w:w="15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205</w:t>
            </w:r>
          </w:p>
        </w:tc>
        <w:tc>
          <w:tcPr>
            <w:tcW w:w="292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教育支出</w:t>
            </w:r>
          </w:p>
        </w:tc>
        <w:tc>
          <w:tcPr>
            <w:tcW w:w="160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63,748.34</w:t>
            </w:r>
          </w:p>
        </w:tc>
        <w:tc>
          <w:tcPr>
            <w:tcW w:w="1464"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48,690.97</w:t>
            </w:r>
          </w:p>
        </w:tc>
        <w:tc>
          <w:tcPr>
            <w:tcW w:w="15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textAlignment w:val="center"/>
              <w:rPr>
                <w:rFonts w:ascii="宋体" w:hAnsi="宋体" w:cs="宋体" w:hint="default"/>
                <w:color w:val="000000"/>
                <w:sz w:val="22"/>
              </w:rPr>
            </w:pPr>
            <w:r>
              <w:rPr>
                <w:rFonts w:ascii="宋体" w:hAnsi="宋体" w:cs="宋体"/>
                <w:color w:val="000000"/>
                <w:kern w:val="0"/>
                <w:sz w:val="22"/>
              </w:rPr>
              <w:t>12,525.34</w:t>
            </w: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2,532.03</w:t>
            </w:r>
          </w:p>
        </w:tc>
      </w:tr>
      <w:tr w:rsidR="00B87C8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20502</w:t>
            </w:r>
          </w:p>
        </w:tc>
        <w:tc>
          <w:tcPr>
            <w:tcW w:w="292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普通教育</w:t>
            </w:r>
          </w:p>
        </w:tc>
        <w:tc>
          <w:tcPr>
            <w:tcW w:w="160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63,748.34</w:t>
            </w:r>
          </w:p>
        </w:tc>
        <w:tc>
          <w:tcPr>
            <w:tcW w:w="1464"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48,690.97</w:t>
            </w:r>
          </w:p>
        </w:tc>
        <w:tc>
          <w:tcPr>
            <w:tcW w:w="15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textAlignment w:val="center"/>
              <w:rPr>
                <w:rFonts w:ascii="宋体" w:hAnsi="宋体" w:cs="宋体" w:hint="default"/>
                <w:color w:val="000000"/>
                <w:sz w:val="22"/>
              </w:rPr>
            </w:pPr>
            <w:r>
              <w:rPr>
                <w:rFonts w:ascii="宋体" w:hAnsi="宋体" w:cs="宋体"/>
                <w:color w:val="000000"/>
                <w:kern w:val="0"/>
                <w:sz w:val="22"/>
              </w:rPr>
              <w:t>12,525.34</w:t>
            </w: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2,532.03</w:t>
            </w:r>
          </w:p>
        </w:tc>
      </w:tr>
      <w:tr w:rsidR="00B87C8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2050205</w:t>
            </w:r>
          </w:p>
        </w:tc>
        <w:tc>
          <w:tcPr>
            <w:tcW w:w="292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高等教育</w:t>
            </w:r>
          </w:p>
        </w:tc>
        <w:tc>
          <w:tcPr>
            <w:tcW w:w="160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63,748.34</w:t>
            </w:r>
          </w:p>
        </w:tc>
        <w:tc>
          <w:tcPr>
            <w:tcW w:w="1464"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48,690.97</w:t>
            </w:r>
          </w:p>
        </w:tc>
        <w:tc>
          <w:tcPr>
            <w:tcW w:w="15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textAlignment w:val="center"/>
              <w:rPr>
                <w:rFonts w:ascii="宋体" w:hAnsi="宋体" w:cs="宋体" w:hint="default"/>
                <w:color w:val="000000"/>
                <w:sz w:val="22"/>
              </w:rPr>
            </w:pPr>
            <w:r>
              <w:rPr>
                <w:rFonts w:ascii="宋体" w:hAnsi="宋体" w:cs="宋体"/>
                <w:color w:val="000000"/>
                <w:kern w:val="0"/>
                <w:sz w:val="22"/>
              </w:rPr>
              <w:t>12,525.34</w:t>
            </w: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2,532.03</w:t>
            </w:r>
          </w:p>
        </w:tc>
      </w:tr>
      <w:tr w:rsidR="00B87C8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w:t>
            </w:r>
          </w:p>
        </w:tc>
        <w:tc>
          <w:tcPr>
            <w:tcW w:w="292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科学技术支出</w:t>
            </w:r>
          </w:p>
        </w:tc>
        <w:tc>
          <w:tcPr>
            <w:tcW w:w="160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350.20</w:t>
            </w:r>
          </w:p>
        </w:tc>
        <w:tc>
          <w:tcPr>
            <w:tcW w:w="1464"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350.20</w:t>
            </w:r>
          </w:p>
        </w:tc>
        <w:tc>
          <w:tcPr>
            <w:tcW w:w="15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20602</w:t>
            </w:r>
          </w:p>
        </w:tc>
        <w:tc>
          <w:tcPr>
            <w:tcW w:w="292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基础研究</w:t>
            </w:r>
          </w:p>
        </w:tc>
        <w:tc>
          <w:tcPr>
            <w:tcW w:w="160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115.00</w:t>
            </w:r>
          </w:p>
        </w:tc>
        <w:tc>
          <w:tcPr>
            <w:tcW w:w="1464"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115.00</w:t>
            </w:r>
          </w:p>
        </w:tc>
        <w:tc>
          <w:tcPr>
            <w:tcW w:w="15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2060203</w:t>
            </w:r>
          </w:p>
        </w:tc>
        <w:tc>
          <w:tcPr>
            <w:tcW w:w="292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自然科学基金</w:t>
            </w:r>
          </w:p>
        </w:tc>
        <w:tc>
          <w:tcPr>
            <w:tcW w:w="160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115.00</w:t>
            </w:r>
          </w:p>
        </w:tc>
        <w:tc>
          <w:tcPr>
            <w:tcW w:w="1464"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115.00</w:t>
            </w:r>
          </w:p>
        </w:tc>
        <w:tc>
          <w:tcPr>
            <w:tcW w:w="15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20603</w:t>
            </w:r>
          </w:p>
        </w:tc>
        <w:tc>
          <w:tcPr>
            <w:tcW w:w="292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应用研究</w:t>
            </w:r>
          </w:p>
        </w:tc>
        <w:tc>
          <w:tcPr>
            <w:tcW w:w="160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1464"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15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2060303</w:t>
            </w:r>
          </w:p>
        </w:tc>
        <w:tc>
          <w:tcPr>
            <w:tcW w:w="292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高技术研究</w:t>
            </w:r>
          </w:p>
        </w:tc>
        <w:tc>
          <w:tcPr>
            <w:tcW w:w="160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1464"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15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20606</w:t>
            </w:r>
          </w:p>
        </w:tc>
        <w:tc>
          <w:tcPr>
            <w:tcW w:w="292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社会科学</w:t>
            </w:r>
          </w:p>
        </w:tc>
        <w:tc>
          <w:tcPr>
            <w:tcW w:w="160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145.20</w:t>
            </w:r>
          </w:p>
        </w:tc>
        <w:tc>
          <w:tcPr>
            <w:tcW w:w="1464"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145.20</w:t>
            </w:r>
          </w:p>
        </w:tc>
        <w:tc>
          <w:tcPr>
            <w:tcW w:w="15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2060699</w:t>
            </w:r>
          </w:p>
        </w:tc>
        <w:tc>
          <w:tcPr>
            <w:tcW w:w="292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其他社会科学支出</w:t>
            </w:r>
          </w:p>
        </w:tc>
        <w:tc>
          <w:tcPr>
            <w:tcW w:w="160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145.20</w:t>
            </w:r>
          </w:p>
        </w:tc>
        <w:tc>
          <w:tcPr>
            <w:tcW w:w="1464"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145.20</w:t>
            </w:r>
          </w:p>
        </w:tc>
        <w:tc>
          <w:tcPr>
            <w:tcW w:w="15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20607</w:t>
            </w:r>
          </w:p>
        </w:tc>
        <w:tc>
          <w:tcPr>
            <w:tcW w:w="292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科学技术普及</w:t>
            </w:r>
          </w:p>
        </w:tc>
        <w:tc>
          <w:tcPr>
            <w:tcW w:w="160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w:t>
            </w:r>
          </w:p>
        </w:tc>
        <w:tc>
          <w:tcPr>
            <w:tcW w:w="1464"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w:t>
            </w:r>
          </w:p>
        </w:tc>
        <w:tc>
          <w:tcPr>
            <w:tcW w:w="15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2060799</w:t>
            </w:r>
          </w:p>
        </w:tc>
        <w:tc>
          <w:tcPr>
            <w:tcW w:w="292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其他科学技术普及支出</w:t>
            </w:r>
          </w:p>
        </w:tc>
        <w:tc>
          <w:tcPr>
            <w:tcW w:w="160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w:t>
            </w:r>
          </w:p>
        </w:tc>
        <w:tc>
          <w:tcPr>
            <w:tcW w:w="1464"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w:t>
            </w:r>
          </w:p>
        </w:tc>
        <w:tc>
          <w:tcPr>
            <w:tcW w:w="15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20699</w:t>
            </w:r>
          </w:p>
        </w:tc>
        <w:tc>
          <w:tcPr>
            <w:tcW w:w="292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其他科学技术支出</w:t>
            </w:r>
          </w:p>
        </w:tc>
        <w:tc>
          <w:tcPr>
            <w:tcW w:w="160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35.00</w:t>
            </w:r>
          </w:p>
        </w:tc>
        <w:tc>
          <w:tcPr>
            <w:tcW w:w="1464"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35.00</w:t>
            </w:r>
          </w:p>
        </w:tc>
        <w:tc>
          <w:tcPr>
            <w:tcW w:w="15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2069901</w:t>
            </w:r>
          </w:p>
        </w:tc>
        <w:tc>
          <w:tcPr>
            <w:tcW w:w="292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科技奖励</w:t>
            </w:r>
          </w:p>
        </w:tc>
        <w:tc>
          <w:tcPr>
            <w:tcW w:w="160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35.00</w:t>
            </w:r>
          </w:p>
        </w:tc>
        <w:tc>
          <w:tcPr>
            <w:tcW w:w="1464"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35.00</w:t>
            </w:r>
          </w:p>
        </w:tc>
        <w:tc>
          <w:tcPr>
            <w:tcW w:w="15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207</w:t>
            </w:r>
          </w:p>
        </w:tc>
        <w:tc>
          <w:tcPr>
            <w:tcW w:w="292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文化旅游体育与传媒支出</w:t>
            </w:r>
          </w:p>
        </w:tc>
        <w:tc>
          <w:tcPr>
            <w:tcW w:w="160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1464"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15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20701</w:t>
            </w:r>
          </w:p>
        </w:tc>
        <w:tc>
          <w:tcPr>
            <w:tcW w:w="292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文化和旅游</w:t>
            </w:r>
          </w:p>
        </w:tc>
        <w:tc>
          <w:tcPr>
            <w:tcW w:w="160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1464"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15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2070199</w:t>
            </w:r>
          </w:p>
        </w:tc>
        <w:tc>
          <w:tcPr>
            <w:tcW w:w="292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其他文化和旅游支出</w:t>
            </w:r>
          </w:p>
        </w:tc>
        <w:tc>
          <w:tcPr>
            <w:tcW w:w="160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1464"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15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1468" w:type="dxa"/>
            <w:tcBorders>
              <w:top w:val="nil"/>
              <w:left w:val="single" w:sz="4" w:space="0" w:color="000000"/>
              <w:bottom w:val="single" w:sz="4" w:space="0" w:color="auto"/>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208</w:t>
            </w:r>
          </w:p>
        </w:tc>
        <w:tc>
          <w:tcPr>
            <w:tcW w:w="2928" w:type="dxa"/>
            <w:tcBorders>
              <w:top w:val="nil"/>
              <w:left w:val="nil"/>
              <w:bottom w:val="single" w:sz="4" w:space="0" w:color="auto"/>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社会保障和就业支出</w:t>
            </w:r>
          </w:p>
        </w:tc>
        <w:tc>
          <w:tcPr>
            <w:tcW w:w="1608" w:type="dxa"/>
            <w:tcBorders>
              <w:top w:val="nil"/>
              <w:left w:val="nil"/>
              <w:bottom w:val="single" w:sz="4" w:space="0" w:color="auto"/>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3,184.60</w:t>
            </w:r>
          </w:p>
        </w:tc>
        <w:tc>
          <w:tcPr>
            <w:tcW w:w="1464" w:type="dxa"/>
            <w:tcBorders>
              <w:top w:val="nil"/>
              <w:left w:val="nil"/>
              <w:bottom w:val="single" w:sz="4" w:space="0" w:color="auto"/>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3,184.60</w:t>
            </w:r>
          </w:p>
        </w:tc>
        <w:tc>
          <w:tcPr>
            <w:tcW w:w="1560" w:type="dxa"/>
            <w:tcBorders>
              <w:top w:val="nil"/>
              <w:left w:val="nil"/>
              <w:bottom w:val="single" w:sz="4" w:space="0" w:color="auto"/>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nil"/>
              <w:left w:val="nil"/>
              <w:bottom w:val="single" w:sz="4" w:space="0" w:color="auto"/>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20" w:type="dxa"/>
            <w:tcBorders>
              <w:top w:val="nil"/>
              <w:left w:val="nil"/>
              <w:bottom w:val="single" w:sz="4" w:space="0" w:color="auto"/>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nil"/>
              <w:left w:val="nil"/>
              <w:bottom w:val="single" w:sz="4" w:space="0" w:color="auto"/>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nil"/>
              <w:left w:val="nil"/>
              <w:bottom w:val="single" w:sz="4" w:space="0" w:color="auto"/>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1468" w:type="dxa"/>
            <w:tcBorders>
              <w:top w:val="single" w:sz="4" w:space="0" w:color="auto"/>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lastRenderedPageBreak/>
              <w:t>20805</w:t>
            </w:r>
          </w:p>
        </w:tc>
        <w:tc>
          <w:tcPr>
            <w:tcW w:w="2928" w:type="dxa"/>
            <w:tcBorders>
              <w:top w:val="single" w:sz="4" w:space="0" w:color="auto"/>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行政事业单位养老支出</w:t>
            </w:r>
          </w:p>
        </w:tc>
        <w:tc>
          <w:tcPr>
            <w:tcW w:w="1608" w:type="dxa"/>
            <w:tcBorders>
              <w:top w:val="single" w:sz="4" w:space="0" w:color="auto"/>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3,155.00</w:t>
            </w:r>
          </w:p>
        </w:tc>
        <w:tc>
          <w:tcPr>
            <w:tcW w:w="1464" w:type="dxa"/>
            <w:tcBorders>
              <w:top w:val="single" w:sz="4" w:space="0" w:color="auto"/>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3,155.00</w:t>
            </w:r>
          </w:p>
        </w:tc>
        <w:tc>
          <w:tcPr>
            <w:tcW w:w="1560" w:type="dxa"/>
            <w:tcBorders>
              <w:top w:val="single" w:sz="4" w:space="0" w:color="auto"/>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single" w:sz="4" w:space="0" w:color="auto"/>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20" w:type="dxa"/>
            <w:tcBorders>
              <w:top w:val="single" w:sz="4" w:space="0" w:color="auto"/>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single" w:sz="4" w:space="0" w:color="auto"/>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single" w:sz="4" w:space="0" w:color="auto"/>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2080505</w:t>
            </w:r>
          </w:p>
        </w:tc>
        <w:tc>
          <w:tcPr>
            <w:tcW w:w="292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机关事业单位基本养老保险缴费支出</w:t>
            </w:r>
          </w:p>
        </w:tc>
        <w:tc>
          <w:tcPr>
            <w:tcW w:w="160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3,155.00</w:t>
            </w:r>
          </w:p>
        </w:tc>
        <w:tc>
          <w:tcPr>
            <w:tcW w:w="1464"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3,155.00</w:t>
            </w:r>
          </w:p>
        </w:tc>
        <w:tc>
          <w:tcPr>
            <w:tcW w:w="15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20807</w:t>
            </w:r>
          </w:p>
        </w:tc>
        <w:tc>
          <w:tcPr>
            <w:tcW w:w="292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就业补助</w:t>
            </w:r>
          </w:p>
        </w:tc>
        <w:tc>
          <w:tcPr>
            <w:tcW w:w="160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29.60</w:t>
            </w:r>
          </w:p>
        </w:tc>
        <w:tc>
          <w:tcPr>
            <w:tcW w:w="1464"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29.60</w:t>
            </w:r>
          </w:p>
        </w:tc>
        <w:tc>
          <w:tcPr>
            <w:tcW w:w="15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2080799</w:t>
            </w:r>
          </w:p>
        </w:tc>
        <w:tc>
          <w:tcPr>
            <w:tcW w:w="292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其他就业补助支出</w:t>
            </w:r>
          </w:p>
        </w:tc>
        <w:tc>
          <w:tcPr>
            <w:tcW w:w="160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29.60</w:t>
            </w:r>
          </w:p>
        </w:tc>
        <w:tc>
          <w:tcPr>
            <w:tcW w:w="1464"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29.60</w:t>
            </w:r>
          </w:p>
        </w:tc>
        <w:tc>
          <w:tcPr>
            <w:tcW w:w="15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210</w:t>
            </w:r>
          </w:p>
        </w:tc>
        <w:tc>
          <w:tcPr>
            <w:tcW w:w="292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卫生健康支出</w:t>
            </w:r>
          </w:p>
        </w:tc>
        <w:tc>
          <w:tcPr>
            <w:tcW w:w="160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378.80</w:t>
            </w:r>
          </w:p>
        </w:tc>
        <w:tc>
          <w:tcPr>
            <w:tcW w:w="1464"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378.80</w:t>
            </w:r>
          </w:p>
        </w:tc>
        <w:tc>
          <w:tcPr>
            <w:tcW w:w="15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21004</w:t>
            </w:r>
          </w:p>
        </w:tc>
        <w:tc>
          <w:tcPr>
            <w:tcW w:w="292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公共卫生</w:t>
            </w:r>
          </w:p>
        </w:tc>
        <w:tc>
          <w:tcPr>
            <w:tcW w:w="160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376.80</w:t>
            </w:r>
          </w:p>
        </w:tc>
        <w:tc>
          <w:tcPr>
            <w:tcW w:w="1464"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376.80</w:t>
            </w:r>
          </w:p>
        </w:tc>
        <w:tc>
          <w:tcPr>
            <w:tcW w:w="15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2100409</w:t>
            </w:r>
          </w:p>
        </w:tc>
        <w:tc>
          <w:tcPr>
            <w:tcW w:w="292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重大公共卫生服务</w:t>
            </w:r>
          </w:p>
        </w:tc>
        <w:tc>
          <w:tcPr>
            <w:tcW w:w="160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188.00</w:t>
            </w:r>
          </w:p>
        </w:tc>
        <w:tc>
          <w:tcPr>
            <w:tcW w:w="1464"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188.00</w:t>
            </w:r>
          </w:p>
        </w:tc>
        <w:tc>
          <w:tcPr>
            <w:tcW w:w="15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2100499</w:t>
            </w:r>
          </w:p>
        </w:tc>
        <w:tc>
          <w:tcPr>
            <w:tcW w:w="292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其他公共卫生支出</w:t>
            </w:r>
          </w:p>
        </w:tc>
        <w:tc>
          <w:tcPr>
            <w:tcW w:w="160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188.80</w:t>
            </w:r>
          </w:p>
        </w:tc>
        <w:tc>
          <w:tcPr>
            <w:tcW w:w="1464"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188.80</w:t>
            </w:r>
          </w:p>
        </w:tc>
        <w:tc>
          <w:tcPr>
            <w:tcW w:w="15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21006</w:t>
            </w:r>
          </w:p>
        </w:tc>
        <w:tc>
          <w:tcPr>
            <w:tcW w:w="292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中医药</w:t>
            </w:r>
          </w:p>
        </w:tc>
        <w:tc>
          <w:tcPr>
            <w:tcW w:w="160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2.00</w:t>
            </w:r>
          </w:p>
        </w:tc>
        <w:tc>
          <w:tcPr>
            <w:tcW w:w="1464"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2.00</w:t>
            </w:r>
          </w:p>
        </w:tc>
        <w:tc>
          <w:tcPr>
            <w:tcW w:w="15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2100601</w:t>
            </w:r>
          </w:p>
        </w:tc>
        <w:tc>
          <w:tcPr>
            <w:tcW w:w="292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中医（民族医）药专项</w:t>
            </w:r>
          </w:p>
        </w:tc>
        <w:tc>
          <w:tcPr>
            <w:tcW w:w="160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2.00</w:t>
            </w:r>
          </w:p>
        </w:tc>
        <w:tc>
          <w:tcPr>
            <w:tcW w:w="1464"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2.00</w:t>
            </w:r>
          </w:p>
        </w:tc>
        <w:tc>
          <w:tcPr>
            <w:tcW w:w="15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221</w:t>
            </w:r>
          </w:p>
        </w:tc>
        <w:tc>
          <w:tcPr>
            <w:tcW w:w="292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住房保障支出</w:t>
            </w:r>
          </w:p>
        </w:tc>
        <w:tc>
          <w:tcPr>
            <w:tcW w:w="160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2,333.16</w:t>
            </w:r>
          </w:p>
        </w:tc>
        <w:tc>
          <w:tcPr>
            <w:tcW w:w="1464"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1,401.52</w:t>
            </w:r>
          </w:p>
        </w:tc>
        <w:tc>
          <w:tcPr>
            <w:tcW w:w="15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600.00</w:t>
            </w: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331.64</w:t>
            </w:r>
          </w:p>
        </w:tc>
      </w:tr>
      <w:tr w:rsidR="00B87C8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22102</w:t>
            </w:r>
          </w:p>
        </w:tc>
        <w:tc>
          <w:tcPr>
            <w:tcW w:w="292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住房改革支出</w:t>
            </w:r>
          </w:p>
        </w:tc>
        <w:tc>
          <w:tcPr>
            <w:tcW w:w="160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2,333.16</w:t>
            </w:r>
          </w:p>
        </w:tc>
        <w:tc>
          <w:tcPr>
            <w:tcW w:w="1464"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1,401.52</w:t>
            </w:r>
          </w:p>
        </w:tc>
        <w:tc>
          <w:tcPr>
            <w:tcW w:w="15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600.00</w:t>
            </w: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331.64</w:t>
            </w:r>
          </w:p>
        </w:tc>
      </w:tr>
      <w:tr w:rsidR="00B87C8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2210201</w:t>
            </w:r>
          </w:p>
        </w:tc>
        <w:tc>
          <w:tcPr>
            <w:tcW w:w="292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住房公积金</w:t>
            </w:r>
          </w:p>
        </w:tc>
        <w:tc>
          <w:tcPr>
            <w:tcW w:w="1608"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2,333.16</w:t>
            </w:r>
          </w:p>
        </w:tc>
        <w:tc>
          <w:tcPr>
            <w:tcW w:w="1464"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1,401.52</w:t>
            </w:r>
          </w:p>
        </w:tc>
        <w:tc>
          <w:tcPr>
            <w:tcW w:w="15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600.00</w:t>
            </w: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331.64</w:t>
            </w:r>
          </w:p>
        </w:tc>
      </w:tr>
      <w:tr w:rsidR="00B87C8A">
        <w:trPr>
          <w:gridAfter w:val="1"/>
          <w:wAfter w:w="60" w:type="dxa"/>
          <w:trHeight w:val="308"/>
        </w:trPr>
        <w:tc>
          <w:tcPr>
            <w:tcW w:w="15142" w:type="dxa"/>
            <w:gridSpan w:val="9"/>
            <w:tcBorders>
              <w:top w:val="nil"/>
              <w:left w:val="nil"/>
              <w:bottom w:val="nil"/>
              <w:right w:val="nil"/>
              <w:tl2br w:val="nil"/>
              <w:tr2bl w:val="nil"/>
            </w:tcBorders>
            <w:noWrap/>
            <w:vAlign w:val="center"/>
          </w:tcPr>
          <w:p w:rsidR="00B87C8A" w:rsidRDefault="002D1C8A">
            <w:pPr>
              <w:widowControl/>
              <w:jc w:val="left"/>
              <w:textAlignment w:val="center"/>
              <w:rPr>
                <w:rFonts w:ascii="宋体" w:hAnsi="宋体" w:cs="宋体" w:hint="default"/>
                <w:color w:val="000000"/>
                <w:sz w:val="22"/>
              </w:rPr>
            </w:pPr>
            <w:r>
              <w:rPr>
                <w:rFonts w:ascii="宋体" w:hAnsi="宋体" w:cs="宋体"/>
                <w:color w:val="000000"/>
                <w:kern w:val="0"/>
                <w:sz w:val="22"/>
              </w:rPr>
              <w:t>注：本表反映部门本年度取得的各项收入情况。</w:t>
            </w:r>
          </w:p>
        </w:tc>
      </w:tr>
    </w:tbl>
    <w:p w:rsidR="00B87C8A" w:rsidRDefault="00B87C8A">
      <w:pPr>
        <w:widowControl/>
        <w:spacing w:line="600" w:lineRule="exact"/>
        <w:ind w:firstLine="0"/>
        <w:jc w:val="center"/>
        <w:rPr>
          <w:rFonts w:ascii="黑体" w:eastAsia="黑体" w:hAnsi="Times New Roman" w:cs="黑体" w:hint="default"/>
          <w:sz w:val="32"/>
          <w:szCs w:val="32"/>
        </w:rPr>
        <w:sectPr w:rsidR="00B87C8A">
          <w:pgSz w:w="16838" w:h="11906" w:orient="landscape"/>
          <w:pgMar w:top="720" w:right="873" w:bottom="720" w:left="720" w:header="720" w:footer="720" w:gutter="0"/>
          <w:cols w:space="720"/>
        </w:sectPr>
      </w:pPr>
    </w:p>
    <w:tbl>
      <w:tblPr>
        <w:tblW w:w="15222" w:type="dxa"/>
        <w:tblInd w:w="96" w:type="dxa"/>
        <w:tblLayout w:type="fixed"/>
        <w:tblLook w:val="04A0"/>
      </w:tblPr>
      <w:tblGrid>
        <w:gridCol w:w="1613"/>
        <w:gridCol w:w="236"/>
        <w:gridCol w:w="236"/>
        <w:gridCol w:w="3335"/>
        <w:gridCol w:w="1737"/>
        <w:gridCol w:w="1817"/>
        <w:gridCol w:w="1537"/>
        <w:gridCol w:w="1537"/>
        <w:gridCol w:w="1298"/>
        <w:gridCol w:w="1876"/>
      </w:tblGrid>
      <w:tr w:rsidR="00B87C8A">
        <w:trPr>
          <w:trHeight w:val="384"/>
        </w:trPr>
        <w:tc>
          <w:tcPr>
            <w:tcW w:w="15222" w:type="dxa"/>
            <w:gridSpan w:val="10"/>
            <w:tcBorders>
              <w:top w:val="nil"/>
              <w:left w:val="nil"/>
              <w:bottom w:val="nil"/>
              <w:right w:val="nil"/>
              <w:tl2br w:val="nil"/>
              <w:tr2bl w:val="nil"/>
            </w:tcBorders>
            <w:noWrap/>
            <w:vAlign w:val="bottom"/>
          </w:tcPr>
          <w:p w:rsidR="00B87C8A" w:rsidRDefault="002D1C8A">
            <w:pPr>
              <w:widowControl/>
              <w:jc w:val="center"/>
              <w:textAlignment w:val="bottom"/>
              <w:rPr>
                <w:rFonts w:ascii="宋体" w:hAnsi="宋体" w:cs="宋体" w:hint="default"/>
                <w:color w:val="000000"/>
                <w:sz w:val="30"/>
                <w:szCs w:val="30"/>
              </w:rPr>
            </w:pPr>
            <w:r>
              <w:rPr>
                <w:rFonts w:ascii="宋体" w:hAnsi="宋体" w:cs="宋体"/>
                <w:color w:val="000000"/>
                <w:kern w:val="0"/>
                <w:sz w:val="30"/>
                <w:szCs w:val="30"/>
              </w:rPr>
              <w:lastRenderedPageBreak/>
              <w:t>三、支出决算表</w:t>
            </w:r>
          </w:p>
        </w:tc>
      </w:tr>
      <w:tr w:rsidR="00B87C8A">
        <w:trPr>
          <w:trHeight w:val="264"/>
        </w:trPr>
        <w:tc>
          <w:tcPr>
            <w:tcW w:w="1616"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222"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222"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3342"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1740"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1820"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1540"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1540"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1300"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1880" w:type="dxa"/>
            <w:tcBorders>
              <w:top w:val="nil"/>
              <w:left w:val="nil"/>
              <w:bottom w:val="nil"/>
              <w:right w:val="nil"/>
              <w:tl2br w:val="nil"/>
              <w:tr2bl w:val="nil"/>
            </w:tcBorders>
            <w:noWrap/>
            <w:vAlign w:val="bottom"/>
          </w:tcPr>
          <w:p w:rsidR="00B87C8A" w:rsidRDefault="002D1C8A">
            <w:pPr>
              <w:widowControl/>
              <w:jc w:val="right"/>
              <w:textAlignment w:val="bottom"/>
              <w:rPr>
                <w:rFonts w:ascii="宋体" w:hAnsi="宋体" w:cs="宋体" w:hint="default"/>
                <w:color w:val="000000"/>
                <w:sz w:val="20"/>
                <w:szCs w:val="20"/>
              </w:rPr>
            </w:pPr>
            <w:r>
              <w:rPr>
                <w:rFonts w:ascii="宋体" w:hAnsi="宋体" w:cs="宋体"/>
                <w:color w:val="000000"/>
                <w:kern w:val="0"/>
                <w:sz w:val="20"/>
                <w:szCs w:val="20"/>
              </w:rPr>
              <w:t>公开03表</w:t>
            </w:r>
          </w:p>
        </w:tc>
      </w:tr>
      <w:tr w:rsidR="00B87C8A">
        <w:trPr>
          <w:trHeight w:val="264"/>
        </w:trPr>
        <w:tc>
          <w:tcPr>
            <w:tcW w:w="1616" w:type="dxa"/>
            <w:tcBorders>
              <w:top w:val="nil"/>
              <w:left w:val="nil"/>
              <w:bottom w:val="nil"/>
              <w:right w:val="nil"/>
              <w:tl2br w:val="nil"/>
              <w:tr2bl w:val="nil"/>
            </w:tcBorders>
            <w:noWrap/>
            <w:vAlign w:val="bottom"/>
          </w:tcPr>
          <w:p w:rsidR="00B87C8A" w:rsidRDefault="002D1C8A">
            <w:pPr>
              <w:widowControl/>
              <w:ind w:firstLine="0"/>
              <w:jc w:val="left"/>
              <w:textAlignment w:val="bottom"/>
              <w:rPr>
                <w:rFonts w:ascii="宋体" w:hAnsi="宋体" w:cs="宋体" w:hint="default"/>
                <w:color w:val="000000"/>
                <w:sz w:val="20"/>
                <w:szCs w:val="20"/>
              </w:rPr>
            </w:pPr>
            <w:r>
              <w:rPr>
                <w:rFonts w:ascii="宋体" w:hAnsi="宋体" w:cs="宋体"/>
                <w:color w:val="000000"/>
                <w:kern w:val="0"/>
                <w:sz w:val="20"/>
                <w:szCs w:val="20"/>
              </w:rPr>
              <w:t>部门：吉首大学</w:t>
            </w:r>
          </w:p>
        </w:tc>
        <w:tc>
          <w:tcPr>
            <w:tcW w:w="222"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222"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3342"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1740"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1820"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1540"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1540"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1300"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1880" w:type="dxa"/>
            <w:tcBorders>
              <w:top w:val="nil"/>
              <w:left w:val="nil"/>
              <w:bottom w:val="nil"/>
              <w:right w:val="nil"/>
              <w:tl2br w:val="nil"/>
              <w:tr2bl w:val="nil"/>
            </w:tcBorders>
            <w:noWrap/>
            <w:vAlign w:val="bottom"/>
          </w:tcPr>
          <w:p w:rsidR="00B87C8A" w:rsidRDefault="002D1C8A">
            <w:pPr>
              <w:widowControl/>
              <w:ind w:firstLine="0"/>
              <w:jc w:val="right"/>
              <w:textAlignment w:val="bottom"/>
              <w:rPr>
                <w:rFonts w:ascii="宋体" w:hAnsi="宋体" w:cs="宋体" w:hint="default"/>
                <w:color w:val="000000"/>
                <w:sz w:val="20"/>
                <w:szCs w:val="20"/>
              </w:rPr>
            </w:pPr>
            <w:r>
              <w:rPr>
                <w:rFonts w:ascii="宋体" w:hAnsi="宋体" w:cs="宋体"/>
                <w:color w:val="000000"/>
                <w:kern w:val="0"/>
                <w:sz w:val="20"/>
                <w:szCs w:val="20"/>
              </w:rPr>
              <w:t>金额单位：万元</w:t>
            </w:r>
          </w:p>
        </w:tc>
      </w:tr>
      <w:tr w:rsidR="00B87C8A">
        <w:trPr>
          <w:trHeight w:val="308"/>
        </w:trPr>
        <w:tc>
          <w:tcPr>
            <w:tcW w:w="5402" w:type="dxa"/>
            <w:gridSpan w:val="4"/>
            <w:tcBorders>
              <w:top w:val="single" w:sz="4" w:space="0" w:color="000000"/>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项目</w:t>
            </w:r>
          </w:p>
        </w:tc>
        <w:tc>
          <w:tcPr>
            <w:tcW w:w="1740" w:type="dxa"/>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本年支出合计</w:t>
            </w:r>
          </w:p>
        </w:tc>
        <w:tc>
          <w:tcPr>
            <w:tcW w:w="1820" w:type="dxa"/>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基本支出</w:t>
            </w:r>
          </w:p>
        </w:tc>
        <w:tc>
          <w:tcPr>
            <w:tcW w:w="1540" w:type="dxa"/>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项目支出</w:t>
            </w:r>
          </w:p>
        </w:tc>
        <w:tc>
          <w:tcPr>
            <w:tcW w:w="1540" w:type="dxa"/>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上缴上级支出</w:t>
            </w:r>
          </w:p>
        </w:tc>
        <w:tc>
          <w:tcPr>
            <w:tcW w:w="1300" w:type="dxa"/>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经营支出</w:t>
            </w:r>
          </w:p>
        </w:tc>
        <w:tc>
          <w:tcPr>
            <w:tcW w:w="1880" w:type="dxa"/>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对附属单位补助支出</w:t>
            </w:r>
          </w:p>
        </w:tc>
      </w:tr>
      <w:tr w:rsidR="00B87C8A">
        <w:trPr>
          <w:trHeight w:val="308"/>
        </w:trPr>
        <w:tc>
          <w:tcPr>
            <w:tcW w:w="2060" w:type="dxa"/>
            <w:gridSpan w:val="3"/>
            <w:vMerge w:val="restart"/>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功能分类科目编码</w:t>
            </w:r>
          </w:p>
        </w:tc>
        <w:tc>
          <w:tcPr>
            <w:tcW w:w="3342"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科目名称</w:t>
            </w:r>
          </w:p>
        </w:tc>
        <w:tc>
          <w:tcPr>
            <w:tcW w:w="174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182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154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154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130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188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r>
      <w:tr w:rsidR="00B87C8A">
        <w:trPr>
          <w:trHeight w:val="308"/>
        </w:trPr>
        <w:tc>
          <w:tcPr>
            <w:tcW w:w="2060" w:type="dxa"/>
            <w:gridSpan w:val="3"/>
            <w:vMerge/>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3342"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174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182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154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154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130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188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r>
      <w:tr w:rsidR="00B87C8A">
        <w:trPr>
          <w:trHeight w:val="312"/>
        </w:trPr>
        <w:tc>
          <w:tcPr>
            <w:tcW w:w="2060" w:type="dxa"/>
            <w:gridSpan w:val="3"/>
            <w:vMerge/>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3342"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174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182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154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154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130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188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r>
      <w:tr w:rsidR="00B87C8A">
        <w:trPr>
          <w:trHeight w:val="308"/>
        </w:trPr>
        <w:tc>
          <w:tcPr>
            <w:tcW w:w="5402" w:type="dxa"/>
            <w:gridSpan w:val="4"/>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栏次</w:t>
            </w:r>
          </w:p>
        </w:tc>
        <w:tc>
          <w:tcPr>
            <w:tcW w:w="174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1</w:t>
            </w:r>
          </w:p>
        </w:tc>
        <w:tc>
          <w:tcPr>
            <w:tcW w:w="18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2</w:t>
            </w:r>
          </w:p>
        </w:tc>
        <w:tc>
          <w:tcPr>
            <w:tcW w:w="154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3</w:t>
            </w:r>
          </w:p>
        </w:tc>
        <w:tc>
          <w:tcPr>
            <w:tcW w:w="154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4</w:t>
            </w:r>
          </w:p>
        </w:tc>
        <w:tc>
          <w:tcPr>
            <w:tcW w:w="13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5</w:t>
            </w:r>
          </w:p>
        </w:tc>
        <w:tc>
          <w:tcPr>
            <w:tcW w:w="188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6</w:t>
            </w:r>
          </w:p>
        </w:tc>
      </w:tr>
      <w:tr w:rsidR="00B87C8A">
        <w:trPr>
          <w:trHeight w:val="308"/>
        </w:trPr>
        <w:tc>
          <w:tcPr>
            <w:tcW w:w="5402" w:type="dxa"/>
            <w:gridSpan w:val="4"/>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合计</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b/>
                <w:color w:val="000000"/>
                <w:sz w:val="22"/>
              </w:rPr>
            </w:pPr>
            <w:r>
              <w:rPr>
                <w:rFonts w:ascii="宋体" w:hAnsi="宋体" w:cs="宋体"/>
                <w:b/>
                <w:color w:val="000000"/>
                <w:kern w:val="0"/>
                <w:sz w:val="22"/>
              </w:rPr>
              <w:t>60,963.33</w:t>
            </w:r>
          </w:p>
        </w:tc>
        <w:tc>
          <w:tcPr>
            <w:tcW w:w="18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b/>
                <w:color w:val="000000"/>
                <w:sz w:val="22"/>
              </w:rPr>
            </w:pPr>
            <w:r>
              <w:rPr>
                <w:rFonts w:ascii="宋体" w:hAnsi="宋体" w:cs="宋体"/>
                <w:b/>
                <w:color w:val="000000"/>
                <w:kern w:val="0"/>
                <w:sz w:val="22"/>
              </w:rPr>
              <w:t>39,389.10</w:t>
            </w: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b/>
                <w:color w:val="000000"/>
                <w:sz w:val="22"/>
              </w:rPr>
            </w:pPr>
            <w:r>
              <w:rPr>
                <w:rFonts w:ascii="宋体" w:hAnsi="宋体" w:cs="宋体"/>
                <w:b/>
                <w:color w:val="000000"/>
                <w:kern w:val="0"/>
                <w:sz w:val="22"/>
              </w:rPr>
              <w:t>21,574.23</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b/>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b/>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b/>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201</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一般公共服务支出</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56.89</w:t>
            </w:r>
          </w:p>
        </w:tc>
        <w:tc>
          <w:tcPr>
            <w:tcW w:w="18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56.89</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20104</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发展与改革事务</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5.39</w:t>
            </w:r>
          </w:p>
        </w:tc>
        <w:tc>
          <w:tcPr>
            <w:tcW w:w="18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5.39</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2010499</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其他发展与改革事务支出</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5.39</w:t>
            </w:r>
          </w:p>
        </w:tc>
        <w:tc>
          <w:tcPr>
            <w:tcW w:w="18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5.39</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20123</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民族事务</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18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2012304</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民族工作专项</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18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20129</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群众团体事务</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1.50</w:t>
            </w:r>
          </w:p>
        </w:tc>
        <w:tc>
          <w:tcPr>
            <w:tcW w:w="18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1.50</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2012902</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一般行政管理事务</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1.50</w:t>
            </w:r>
          </w:p>
        </w:tc>
        <w:tc>
          <w:tcPr>
            <w:tcW w:w="18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1.50</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205</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教育支出</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54,605.28</w:t>
            </w:r>
          </w:p>
        </w:tc>
        <w:tc>
          <w:tcPr>
            <w:tcW w:w="18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33,900.94</w:t>
            </w: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20,704.34</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20502</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普通教育</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54,605.28</w:t>
            </w:r>
          </w:p>
        </w:tc>
        <w:tc>
          <w:tcPr>
            <w:tcW w:w="18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33,900.94</w:t>
            </w: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20,704.34</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2050205</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高等教育</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54,605.28</w:t>
            </w:r>
          </w:p>
        </w:tc>
        <w:tc>
          <w:tcPr>
            <w:tcW w:w="18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33,900.94</w:t>
            </w: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20,704.34</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科学技术支出</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480.20</w:t>
            </w:r>
          </w:p>
        </w:tc>
        <w:tc>
          <w:tcPr>
            <w:tcW w:w="18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480.20</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20602</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基础研究</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115.00</w:t>
            </w:r>
          </w:p>
        </w:tc>
        <w:tc>
          <w:tcPr>
            <w:tcW w:w="18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115.00</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2060203</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自然科学基金</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115.00</w:t>
            </w:r>
          </w:p>
        </w:tc>
        <w:tc>
          <w:tcPr>
            <w:tcW w:w="18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115.00</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20603</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应用研究</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100.00</w:t>
            </w:r>
          </w:p>
        </w:tc>
        <w:tc>
          <w:tcPr>
            <w:tcW w:w="18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100.00</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2060303</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高技术研究</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100.00</w:t>
            </w:r>
          </w:p>
        </w:tc>
        <w:tc>
          <w:tcPr>
            <w:tcW w:w="18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100.00</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20605</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科技条件与服务</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20.00</w:t>
            </w:r>
          </w:p>
        </w:tc>
        <w:tc>
          <w:tcPr>
            <w:tcW w:w="18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20.00</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2060599</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其他科技条件与服务支出</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20.00</w:t>
            </w:r>
          </w:p>
        </w:tc>
        <w:tc>
          <w:tcPr>
            <w:tcW w:w="18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20.00</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20606</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社会科学</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145.20</w:t>
            </w:r>
          </w:p>
        </w:tc>
        <w:tc>
          <w:tcPr>
            <w:tcW w:w="18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145.20</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2060699</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其他社会科学支出</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145.20</w:t>
            </w:r>
          </w:p>
        </w:tc>
        <w:tc>
          <w:tcPr>
            <w:tcW w:w="18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145.20</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20607</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科学技术普及</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15.00</w:t>
            </w:r>
          </w:p>
        </w:tc>
        <w:tc>
          <w:tcPr>
            <w:tcW w:w="18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15.00</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2060702</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科普活动</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10.00</w:t>
            </w:r>
          </w:p>
        </w:tc>
        <w:tc>
          <w:tcPr>
            <w:tcW w:w="18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10.00</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2060799</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其他科学技术普及支出</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w:t>
            </w:r>
          </w:p>
        </w:tc>
        <w:tc>
          <w:tcPr>
            <w:tcW w:w="18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auto"/>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20609</w:t>
            </w:r>
          </w:p>
        </w:tc>
        <w:tc>
          <w:tcPr>
            <w:tcW w:w="3342" w:type="dxa"/>
            <w:tcBorders>
              <w:top w:val="nil"/>
              <w:left w:val="nil"/>
              <w:bottom w:val="single" w:sz="4" w:space="0" w:color="auto"/>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科技重大项目</w:t>
            </w:r>
          </w:p>
        </w:tc>
        <w:tc>
          <w:tcPr>
            <w:tcW w:w="1740" w:type="dxa"/>
            <w:tcBorders>
              <w:top w:val="nil"/>
              <w:left w:val="nil"/>
              <w:bottom w:val="single" w:sz="4" w:space="0" w:color="auto"/>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1820" w:type="dxa"/>
            <w:tcBorders>
              <w:top w:val="nil"/>
              <w:left w:val="nil"/>
              <w:bottom w:val="single" w:sz="4" w:space="0" w:color="auto"/>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auto"/>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1540" w:type="dxa"/>
            <w:tcBorders>
              <w:top w:val="nil"/>
              <w:left w:val="nil"/>
              <w:bottom w:val="single" w:sz="4" w:space="0" w:color="auto"/>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auto"/>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auto"/>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single" w:sz="4" w:space="0" w:color="auto"/>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lastRenderedPageBreak/>
              <w:t>2060902</w:t>
            </w:r>
          </w:p>
        </w:tc>
        <w:tc>
          <w:tcPr>
            <w:tcW w:w="3342" w:type="dxa"/>
            <w:tcBorders>
              <w:top w:val="single" w:sz="4" w:space="0" w:color="auto"/>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重点研发计划</w:t>
            </w:r>
          </w:p>
        </w:tc>
        <w:tc>
          <w:tcPr>
            <w:tcW w:w="1740" w:type="dxa"/>
            <w:tcBorders>
              <w:top w:val="single" w:sz="4" w:space="0" w:color="auto"/>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1820" w:type="dxa"/>
            <w:tcBorders>
              <w:top w:val="single" w:sz="4" w:space="0" w:color="auto"/>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single" w:sz="4" w:space="0" w:color="auto"/>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1540" w:type="dxa"/>
            <w:tcBorders>
              <w:top w:val="single" w:sz="4" w:space="0" w:color="auto"/>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single" w:sz="4" w:space="0" w:color="auto"/>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single" w:sz="4" w:space="0" w:color="auto"/>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20699</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其他科学技术支出</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35.00</w:t>
            </w:r>
          </w:p>
        </w:tc>
        <w:tc>
          <w:tcPr>
            <w:tcW w:w="18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35.00</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2069901</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科技奖励</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35.00</w:t>
            </w:r>
          </w:p>
        </w:tc>
        <w:tc>
          <w:tcPr>
            <w:tcW w:w="18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35.00</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207</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文化旅游体育与传媒支出</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18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20701</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文化和旅游</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18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2070199</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其他文化和旅游支出</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18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208</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社会保障和就业支出</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3,184.60</w:t>
            </w:r>
          </w:p>
        </w:tc>
        <w:tc>
          <w:tcPr>
            <w:tcW w:w="18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3,155.00</w:t>
            </w: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29.60</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20805</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行政事业单位养老支出</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3,155.00</w:t>
            </w:r>
          </w:p>
        </w:tc>
        <w:tc>
          <w:tcPr>
            <w:tcW w:w="18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3,155.00</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2080505</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机关事业单位基本养老保险缴费支出</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3,155.00</w:t>
            </w:r>
          </w:p>
        </w:tc>
        <w:tc>
          <w:tcPr>
            <w:tcW w:w="18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3,155.00</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20807</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就业补助</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29.60</w:t>
            </w:r>
          </w:p>
        </w:tc>
        <w:tc>
          <w:tcPr>
            <w:tcW w:w="18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29.60</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2080799</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其他就业补助支出</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29.60</w:t>
            </w:r>
          </w:p>
        </w:tc>
        <w:tc>
          <w:tcPr>
            <w:tcW w:w="18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29.60</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210</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卫生健康支出</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253.20</w:t>
            </w:r>
          </w:p>
        </w:tc>
        <w:tc>
          <w:tcPr>
            <w:tcW w:w="18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253.20</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21004</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公共卫生</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251.20</w:t>
            </w:r>
          </w:p>
        </w:tc>
        <w:tc>
          <w:tcPr>
            <w:tcW w:w="18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251.20</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2100409</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重大公共卫生服务</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188.00</w:t>
            </w:r>
          </w:p>
        </w:tc>
        <w:tc>
          <w:tcPr>
            <w:tcW w:w="18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188.00</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2100499</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其他公共卫生支出</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63.20</w:t>
            </w:r>
          </w:p>
        </w:tc>
        <w:tc>
          <w:tcPr>
            <w:tcW w:w="18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63.20</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21006</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中医药</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2.00</w:t>
            </w:r>
          </w:p>
        </w:tc>
        <w:tc>
          <w:tcPr>
            <w:tcW w:w="18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2.00</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2100601</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中医（民族医）药专项</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2.00</w:t>
            </w:r>
          </w:p>
        </w:tc>
        <w:tc>
          <w:tcPr>
            <w:tcW w:w="18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2.00</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221</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住房保障支出</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2,333.16</w:t>
            </w:r>
          </w:p>
        </w:tc>
        <w:tc>
          <w:tcPr>
            <w:tcW w:w="18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2,333.16</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22102</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住房改革支出</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2,333.16</w:t>
            </w:r>
          </w:p>
        </w:tc>
        <w:tc>
          <w:tcPr>
            <w:tcW w:w="18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2,333.16</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060"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2210201</w:t>
            </w:r>
          </w:p>
        </w:tc>
        <w:tc>
          <w:tcPr>
            <w:tcW w:w="334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Chars="100" w:firstLine="220"/>
              <w:jc w:val="left"/>
              <w:textAlignment w:val="center"/>
              <w:rPr>
                <w:rFonts w:ascii="宋体" w:hAnsi="宋体" w:cs="宋体" w:hint="default"/>
                <w:color w:val="000000"/>
                <w:sz w:val="22"/>
              </w:rPr>
            </w:pPr>
            <w:r>
              <w:rPr>
                <w:rFonts w:ascii="宋体" w:hAnsi="宋体" w:cs="宋体"/>
                <w:color w:val="000000"/>
                <w:kern w:val="0"/>
                <w:sz w:val="22"/>
              </w:rPr>
              <w:t>住房公积金</w:t>
            </w:r>
          </w:p>
        </w:tc>
        <w:tc>
          <w:tcPr>
            <w:tcW w:w="1740" w:type="dxa"/>
            <w:tcBorders>
              <w:top w:val="nil"/>
              <w:left w:val="nil"/>
              <w:bottom w:val="single" w:sz="4" w:space="0" w:color="000000"/>
              <w:right w:val="single" w:sz="4" w:space="0" w:color="000000"/>
              <w:tl2br w:val="nil"/>
              <w:tr2bl w:val="nil"/>
            </w:tcBorders>
            <w:noWrap/>
            <w:vAlign w:val="center"/>
          </w:tcPr>
          <w:p w:rsidR="00B87C8A" w:rsidRDefault="002D1C8A">
            <w:pPr>
              <w:widowControl/>
              <w:jc w:val="right"/>
              <w:textAlignment w:val="center"/>
              <w:rPr>
                <w:rFonts w:ascii="宋体" w:hAnsi="宋体" w:cs="宋体" w:hint="default"/>
                <w:color w:val="000000"/>
                <w:sz w:val="22"/>
              </w:rPr>
            </w:pPr>
            <w:r>
              <w:rPr>
                <w:rFonts w:ascii="宋体" w:hAnsi="宋体" w:cs="宋体"/>
                <w:color w:val="000000"/>
                <w:kern w:val="0"/>
                <w:sz w:val="22"/>
              </w:rPr>
              <w:t>2,333.16</w:t>
            </w:r>
          </w:p>
        </w:tc>
        <w:tc>
          <w:tcPr>
            <w:tcW w:w="1820" w:type="dxa"/>
            <w:tcBorders>
              <w:top w:val="nil"/>
              <w:left w:val="nil"/>
              <w:bottom w:val="single" w:sz="4" w:space="0" w:color="000000"/>
              <w:right w:val="single" w:sz="4" w:space="0" w:color="000000"/>
              <w:tl2br w:val="nil"/>
              <w:tr2bl w:val="nil"/>
            </w:tcBorders>
            <w:noWrap/>
            <w:vAlign w:val="center"/>
          </w:tcPr>
          <w:p w:rsidR="00B87C8A" w:rsidRDefault="002D1C8A">
            <w:pPr>
              <w:widowControl/>
              <w:jc w:val="right"/>
              <w:textAlignment w:val="center"/>
              <w:rPr>
                <w:rFonts w:ascii="宋体" w:hAnsi="宋体" w:cs="宋体" w:hint="default"/>
                <w:color w:val="000000"/>
                <w:sz w:val="22"/>
              </w:rPr>
            </w:pPr>
            <w:r>
              <w:rPr>
                <w:rFonts w:ascii="宋体" w:hAnsi="宋体" w:cs="宋体"/>
                <w:color w:val="000000"/>
                <w:kern w:val="0"/>
                <w:sz w:val="22"/>
              </w:rPr>
              <w:t>2,333.16</w:t>
            </w: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jc w:val="right"/>
              <w:rPr>
                <w:rFonts w:ascii="宋体" w:hAnsi="宋体" w:cs="宋体" w:hint="default"/>
                <w:color w:val="000000"/>
                <w:sz w:val="22"/>
              </w:rPr>
            </w:pPr>
          </w:p>
        </w:tc>
        <w:tc>
          <w:tcPr>
            <w:tcW w:w="1540" w:type="dxa"/>
            <w:tcBorders>
              <w:top w:val="nil"/>
              <w:left w:val="nil"/>
              <w:bottom w:val="single" w:sz="4" w:space="0" w:color="000000"/>
              <w:right w:val="single" w:sz="4" w:space="0" w:color="000000"/>
              <w:tl2br w:val="nil"/>
              <w:tr2bl w:val="nil"/>
            </w:tcBorders>
            <w:noWrap/>
            <w:vAlign w:val="center"/>
          </w:tcPr>
          <w:p w:rsidR="00B87C8A" w:rsidRDefault="00B87C8A">
            <w:pPr>
              <w:jc w:val="right"/>
              <w:rPr>
                <w:rFonts w:ascii="宋体" w:hAnsi="宋体" w:cs="宋体" w:hint="default"/>
                <w:color w:val="000000"/>
                <w:sz w:val="22"/>
              </w:rPr>
            </w:pPr>
          </w:p>
        </w:tc>
        <w:tc>
          <w:tcPr>
            <w:tcW w:w="1300" w:type="dxa"/>
            <w:tcBorders>
              <w:top w:val="nil"/>
              <w:left w:val="nil"/>
              <w:bottom w:val="single" w:sz="4" w:space="0" w:color="000000"/>
              <w:right w:val="single" w:sz="4" w:space="0" w:color="000000"/>
              <w:tl2br w:val="nil"/>
              <w:tr2bl w:val="nil"/>
            </w:tcBorders>
            <w:noWrap/>
            <w:vAlign w:val="center"/>
          </w:tcPr>
          <w:p w:rsidR="00B87C8A" w:rsidRDefault="00B87C8A">
            <w:pPr>
              <w:jc w:val="right"/>
              <w:rPr>
                <w:rFonts w:ascii="宋体" w:hAnsi="宋体" w:cs="宋体" w:hint="default"/>
                <w:color w:val="000000"/>
                <w:sz w:val="22"/>
              </w:rPr>
            </w:pPr>
          </w:p>
        </w:tc>
        <w:tc>
          <w:tcPr>
            <w:tcW w:w="1880" w:type="dxa"/>
            <w:tcBorders>
              <w:top w:val="nil"/>
              <w:left w:val="nil"/>
              <w:bottom w:val="single" w:sz="4" w:space="0" w:color="000000"/>
              <w:right w:val="single" w:sz="4" w:space="0" w:color="000000"/>
              <w:tl2br w:val="nil"/>
              <w:tr2bl w:val="nil"/>
            </w:tcBorders>
            <w:noWrap/>
            <w:vAlign w:val="center"/>
          </w:tcPr>
          <w:p w:rsidR="00B87C8A" w:rsidRDefault="00B87C8A">
            <w:pPr>
              <w:jc w:val="right"/>
              <w:rPr>
                <w:rFonts w:ascii="宋体" w:hAnsi="宋体" w:cs="宋体" w:hint="default"/>
                <w:color w:val="000000"/>
                <w:sz w:val="22"/>
              </w:rPr>
            </w:pPr>
          </w:p>
        </w:tc>
      </w:tr>
      <w:tr w:rsidR="00B87C8A">
        <w:trPr>
          <w:trHeight w:val="308"/>
        </w:trPr>
        <w:tc>
          <w:tcPr>
            <w:tcW w:w="15222" w:type="dxa"/>
            <w:gridSpan w:val="10"/>
            <w:tcBorders>
              <w:top w:val="nil"/>
              <w:left w:val="nil"/>
              <w:bottom w:val="nil"/>
              <w:right w:val="nil"/>
              <w:tl2br w:val="nil"/>
              <w:tr2bl w:val="nil"/>
            </w:tcBorders>
            <w:noWrap/>
            <w:vAlign w:val="center"/>
          </w:tcPr>
          <w:p w:rsidR="00B87C8A" w:rsidRDefault="002D1C8A">
            <w:pPr>
              <w:widowControl/>
              <w:jc w:val="left"/>
              <w:textAlignment w:val="center"/>
              <w:rPr>
                <w:rFonts w:ascii="宋体" w:hAnsi="宋体" w:cs="宋体" w:hint="default"/>
                <w:color w:val="000000"/>
                <w:sz w:val="22"/>
              </w:rPr>
            </w:pPr>
            <w:r>
              <w:rPr>
                <w:rFonts w:ascii="宋体" w:hAnsi="宋体" w:cs="宋体"/>
                <w:color w:val="000000"/>
                <w:kern w:val="0"/>
                <w:sz w:val="22"/>
              </w:rPr>
              <w:t>注：本表反映部门本年度各项支出情况。</w:t>
            </w:r>
          </w:p>
        </w:tc>
      </w:tr>
    </w:tbl>
    <w:p w:rsidR="00B87C8A" w:rsidRDefault="00B87C8A">
      <w:pPr>
        <w:widowControl/>
        <w:spacing w:line="600" w:lineRule="exact"/>
        <w:ind w:firstLine="0"/>
        <w:jc w:val="center"/>
        <w:rPr>
          <w:rFonts w:ascii="黑体" w:eastAsia="黑体" w:hAnsi="Times New Roman" w:cs="黑体" w:hint="default"/>
          <w:sz w:val="32"/>
          <w:szCs w:val="32"/>
        </w:rPr>
        <w:sectPr w:rsidR="00B87C8A">
          <w:pgSz w:w="16838" w:h="11906" w:orient="landscape"/>
          <w:pgMar w:top="720" w:right="873" w:bottom="720" w:left="720" w:header="720" w:footer="720" w:gutter="0"/>
          <w:cols w:space="720"/>
        </w:sectPr>
      </w:pPr>
    </w:p>
    <w:tbl>
      <w:tblPr>
        <w:tblW w:w="15282" w:type="dxa"/>
        <w:tblInd w:w="96" w:type="dxa"/>
        <w:tblLayout w:type="fixed"/>
        <w:tblLook w:val="04A0"/>
      </w:tblPr>
      <w:tblGrid>
        <w:gridCol w:w="3102"/>
        <w:gridCol w:w="800"/>
        <w:gridCol w:w="1360"/>
        <w:gridCol w:w="3420"/>
        <w:gridCol w:w="800"/>
        <w:gridCol w:w="1320"/>
        <w:gridCol w:w="1420"/>
        <w:gridCol w:w="1541"/>
        <w:gridCol w:w="1519"/>
      </w:tblGrid>
      <w:tr w:rsidR="00B87C8A">
        <w:trPr>
          <w:trHeight w:val="384"/>
        </w:trPr>
        <w:tc>
          <w:tcPr>
            <w:tcW w:w="15282" w:type="dxa"/>
            <w:gridSpan w:val="9"/>
            <w:tcBorders>
              <w:top w:val="nil"/>
              <w:left w:val="nil"/>
              <w:bottom w:val="nil"/>
              <w:right w:val="nil"/>
              <w:tl2br w:val="nil"/>
              <w:tr2bl w:val="nil"/>
            </w:tcBorders>
            <w:noWrap/>
            <w:vAlign w:val="bottom"/>
          </w:tcPr>
          <w:p w:rsidR="00B87C8A" w:rsidRDefault="002D1C8A">
            <w:pPr>
              <w:widowControl/>
              <w:ind w:firstLine="0"/>
              <w:jc w:val="center"/>
              <w:textAlignment w:val="bottom"/>
              <w:rPr>
                <w:rFonts w:ascii="宋体" w:hAnsi="宋体" w:cs="宋体" w:hint="default"/>
                <w:color w:val="000000"/>
                <w:sz w:val="30"/>
                <w:szCs w:val="30"/>
              </w:rPr>
            </w:pPr>
            <w:r>
              <w:rPr>
                <w:rFonts w:ascii="宋体" w:hAnsi="宋体" w:cs="宋体"/>
                <w:color w:val="000000"/>
                <w:kern w:val="0"/>
                <w:sz w:val="30"/>
                <w:szCs w:val="30"/>
              </w:rPr>
              <w:lastRenderedPageBreak/>
              <w:t>四、财政拨款收入支出决算总表</w:t>
            </w:r>
          </w:p>
        </w:tc>
      </w:tr>
      <w:tr w:rsidR="00B87C8A">
        <w:trPr>
          <w:trHeight w:val="264"/>
        </w:trPr>
        <w:tc>
          <w:tcPr>
            <w:tcW w:w="3102"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800"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1360"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3420"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800"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1320"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1420"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1541"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1519" w:type="dxa"/>
            <w:tcBorders>
              <w:top w:val="nil"/>
              <w:left w:val="nil"/>
              <w:bottom w:val="nil"/>
              <w:right w:val="nil"/>
              <w:tl2br w:val="nil"/>
              <w:tr2bl w:val="nil"/>
            </w:tcBorders>
            <w:noWrap/>
            <w:vAlign w:val="bottom"/>
          </w:tcPr>
          <w:p w:rsidR="00B87C8A" w:rsidRDefault="002D1C8A">
            <w:pPr>
              <w:widowControl/>
              <w:ind w:firstLine="0"/>
              <w:jc w:val="right"/>
              <w:textAlignment w:val="bottom"/>
              <w:rPr>
                <w:rFonts w:ascii="宋体" w:hAnsi="宋体" w:cs="宋体" w:hint="default"/>
                <w:color w:val="000000"/>
                <w:sz w:val="20"/>
                <w:szCs w:val="20"/>
              </w:rPr>
            </w:pPr>
            <w:r>
              <w:rPr>
                <w:rFonts w:ascii="宋体" w:hAnsi="宋体" w:cs="宋体"/>
                <w:color w:val="000000"/>
                <w:kern w:val="0"/>
                <w:sz w:val="20"/>
                <w:szCs w:val="20"/>
              </w:rPr>
              <w:t>公开04表</w:t>
            </w:r>
          </w:p>
        </w:tc>
      </w:tr>
      <w:tr w:rsidR="00B87C8A">
        <w:trPr>
          <w:trHeight w:val="264"/>
        </w:trPr>
        <w:tc>
          <w:tcPr>
            <w:tcW w:w="3102" w:type="dxa"/>
            <w:tcBorders>
              <w:top w:val="nil"/>
              <w:left w:val="nil"/>
              <w:bottom w:val="nil"/>
              <w:right w:val="nil"/>
              <w:tl2br w:val="nil"/>
              <w:tr2bl w:val="nil"/>
            </w:tcBorders>
            <w:noWrap/>
            <w:vAlign w:val="bottom"/>
          </w:tcPr>
          <w:p w:rsidR="00B87C8A" w:rsidRDefault="002D1C8A">
            <w:pPr>
              <w:widowControl/>
              <w:ind w:firstLine="0"/>
              <w:jc w:val="left"/>
              <w:textAlignment w:val="bottom"/>
              <w:rPr>
                <w:rFonts w:ascii="宋体" w:hAnsi="宋体" w:cs="宋体" w:hint="default"/>
                <w:color w:val="000000"/>
                <w:sz w:val="20"/>
                <w:szCs w:val="20"/>
              </w:rPr>
            </w:pPr>
            <w:r>
              <w:rPr>
                <w:rFonts w:ascii="宋体" w:hAnsi="宋体" w:cs="宋体"/>
                <w:color w:val="000000"/>
                <w:kern w:val="0"/>
                <w:sz w:val="20"/>
                <w:szCs w:val="20"/>
              </w:rPr>
              <w:t>部门：吉首大学</w:t>
            </w:r>
          </w:p>
        </w:tc>
        <w:tc>
          <w:tcPr>
            <w:tcW w:w="800"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1360"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3420"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800"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1320"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1420"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1541"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1519" w:type="dxa"/>
            <w:tcBorders>
              <w:top w:val="nil"/>
              <w:left w:val="nil"/>
              <w:bottom w:val="nil"/>
              <w:right w:val="nil"/>
              <w:tl2br w:val="nil"/>
              <w:tr2bl w:val="nil"/>
            </w:tcBorders>
            <w:noWrap/>
            <w:vAlign w:val="bottom"/>
          </w:tcPr>
          <w:p w:rsidR="00B87C8A" w:rsidRDefault="002D1C8A">
            <w:pPr>
              <w:widowControl/>
              <w:ind w:firstLine="0"/>
              <w:jc w:val="right"/>
              <w:textAlignment w:val="bottom"/>
              <w:rPr>
                <w:rFonts w:ascii="宋体" w:hAnsi="宋体" w:cs="宋体" w:hint="default"/>
                <w:color w:val="000000"/>
                <w:sz w:val="20"/>
                <w:szCs w:val="20"/>
              </w:rPr>
            </w:pPr>
            <w:r>
              <w:rPr>
                <w:rFonts w:ascii="宋体" w:hAnsi="宋体" w:cs="宋体"/>
                <w:color w:val="000000"/>
                <w:kern w:val="0"/>
                <w:sz w:val="20"/>
                <w:szCs w:val="20"/>
              </w:rPr>
              <w:t>金额单位：万元</w:t>
            </w:r>
          </w:p>
        </w:tc>
      </w:tr>
      <w:tr w:rsidR="00B87C8A">
        <w:trPr>
          <w:trHeight w:val="308"/>
        </w:trPr>
        <w:tc>
          <w:tcPr>
            <w:tcW w:w="5262" w:type="dxa"/>
            <w:gridSpan w:val="3"/>
            <w:tcBorders>
              <w:top w:val="single" w:sz="4" w:space="0" w:color="000000"/>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收     入</w:t>
            </w:r>
          </w:p>
        </w:tc>
        <w:tc>
          <w:tcPr>
            <w:tcW w:w="10020" w:type="dxa"/>
            <w:gridSpan w:val="6"/>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支     出</w:t>
            </w:r>
          </w:p>
        </w:tc>
      </w:tr>
      <w:tr w:rsidR="00B87C8A">
        <w:trPr>
          <w:trHeight w:val="293"/>
        </w:trPr>
        <w:tc>
          <w:tcPr>
            <w:tcW w:w="3102" w:type="dxa"/>
            <w:vMerge w:val="restart"/>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项目</w:t>
            </w:r>
          </w:p>
        </w:tc>
        <w:tc>
          <w:tcPr>
            <w:tcW w:w="800"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行次</w:t>
            </w:r>
          </w:p>
        </w:tc>
        <w:tc>
          <w:tcPr>
            <w:tcW w:w="1360"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金额</w:t>
            </w:r>
          </w:p>
        </w:tc>
        <w:tc>
          <w:tcPr>
            <w:tcW w:w="3420"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项目</w:t>
            </w:r>
          </w:p>
        </w:tc>
        <w:tc>
          <w:tcPr>
            <w:tcW w:w="800"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行次</w:t>
            </w:r>
          </w:p>
        </w:tc>
        <w:tc>
          <w:tcPr>
            <w:tcW w:w="1320"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合计</w:t>
            </w:r>
          </w:p>
        </w:tc>
        <w:tc>
          <w:tcPr>
            <w:tcW w:w="1420"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一般公共预算财政拨款</w:t>
            </w:r>
          </w:p>
        </w:tc>
        <w:tc>
          <w:tcPr>
            <w:tcW w:w="1541"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政府性基金预算财政拨款</w:t>
            </w:r>
          </w:p>
        </w:tc>
        <w:tc>
          <w:tcPr>
            <w:tcW w:w="1519"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国有资本经营预算财政拨款</w:t>
            </w:r>
          </w:p>
        </w:tc>
      </w:tr>
      <w:tr w:rsidR="00B87C8A">
        <w:trPr>
          <w:trHeight w:val="615"/>
        </w:trPr>
        <w:tc>
          <w:tcPr>
            <w:tcW w:w="3102" w:type="dxa"/>
            <w:vMerge/>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80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136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342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80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132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142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1541"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1519"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r>
      <w:tr w:rsidR="00B87C8A">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栏次</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136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1</w:t>
            </w: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栏次</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13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2</w:t>
            </w:r>
          </w:p>
        </w:tc>
        <w:tc>
          <w:tcPr>
            <w:tcW w:w="1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3</w:t>
            </w:r>
          </w:p>
        </w:tc>
        <w:tc>
          <w:tcPr>
            <w:tcW w:w="1541"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4</w:t>
            </w:r>
          </w:p>
        </w:tc>
        <w:tc>
          <w:tcPr>
            <w:tcW w:w="1519"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5</w:t>
            </w:r>
          </w:p>
        </w:tc>
      </w:tr>
      <w:tr w:rsidR="00B87C8A">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一、一般公共预算财政拨款</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1</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54,107.59</w:t>
            </w: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一、一般公共服务支出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33</w:t>
            </w:r>
          </w:p>
        </w:tc>
        <w:tc>
          <w:tcPr>
            <w:tcW w:w="13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56.89</w:t>
            </w:r>
          </w:p>
        </w:tc>
        <w:tc>
          <w:tcPr>
            <w:tcW w:w="14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56.89</w:t>
            </w:r>
          </w:p>
        </w:tc>
        <w:tc>
          <w:tcPr>
            <w:tcW w:w="1541"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二、政府性基金预算财政拨款</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2</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right"/>
              <w:rPr>
                <w:rFonts w:ascii="宋体" w:hAnsi="宋体" w:cs="宋体" w:hint="default"/>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二、外交支出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34</w:t>
            </w: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三、国有资本经营财政拨款</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3</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right"/>
              <w:rPr>
                <w:rFonts w:ascii="宋体" w:hAnsi="宋体" w:cs="宋体" w:hint="default"/>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三、国防支出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35</w:t>
            </w: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4</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right"/>
              <w:rPr>
                <w:rFonts w:ascii="宋体" w:hAnsi="宋体" w:cs="宋体" w:hint="default"/>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四、公共安全支出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36</w:t>
            </w: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5</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right"/>
              <w:rPr>
                <w:rFonts w:ascii="宋体" w:hAnsi="宋体" w:cs="宋体" w:hint="default"/>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五、教育支出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37</w:t>
            </w:r>
          </w:p>
        </w:tc>
        <w:tc>
          <w:tcPr>
            <w:tcW w:w="13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31,788.52</w:t>
            </w:r>
          </w:p>
        </w:tc>
        <w:tc>
          <w:tcPr>
            <w:tcW w:w="14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31,788.52</w:t>
            </w:r>
          </w:p>
        </w:tc>
        <w:tc>
          <w:tcPr>
            <w:tcW w:w="1541"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6</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right"/>
              <w:rPr>
                <w:rFonts w:ascii="宋体" w:hAnsi="宋体" w:cs="宋体" w:hint="default"/>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六、科学技术支出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38</w:t>
            </w:r>
          </w:p>
        </w:tc>
        <w:tc>
          <w:tcPr>
            <w:tcW w:w="13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480.20</w:t>
            </w:r>
          </w:p>
        </w:tc>
        <w:tc>
          <w:tcPr>
            <w:tcW w:w="14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480.20</w:t>
            </w:r>
          </w:p>
        </w:tc>
        <w:tc>
          <w:tcPr>
            <w:tcW w:w="1541"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7</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right"/>
              <w:rPr>
                <w:rFonts w:ascii="宋体" w:hAnsi="宋体" w:cs="宋体" w:hint="default"/>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七、文化旅游体育与传媒支出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39</w:t>
            </w:r>
          </w:p>
        </w:tc>
        <w:tc>
          <w:tcPr>
            <w:tcW w:w="13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14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1541"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8</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right"/>
              <w:rPr>
                <w:rFonts w:ascii="宋体" w:hAnsi="宋体" w:cs="宋体" w:hint="default"/>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八、社会保障和就业支出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40</w:t>
            </w:r>
          </w:p>
        </w:tc>
        <w:tc>
          <w:tcPr>
            <w:tcW w:w="13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3,184.60</w:t>
            </w:r>
          </w:p>
        </w:tc>
        <w:tc>
          <w:tcPr>
            <w:tcW w:w="14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3,184.60</w:t>
            </w:r>
          </w:p>
        </w:tc>
        <w:tc>
          <w:tcPr>
            <w:tcW w:w="1541"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9</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right"/>
              <w:rPr>
                <w:rFonts w:ascii="宋体" w:hAnsi="宋体" w:cs="宋体" w:hint="default"/>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九、卫生健康支出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41</w:t>
            </w:r>
          </w:p>
        </w:tc>
        <w:tc>
          <w:tcPr>
            <w:tcW w:w="13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253.20</w:t>
            </w:r>
          </w:p>
        </w:tc>
        <w:tc>
          <w:tcPr>
            <w:tcW w:w="14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253.20</w:t>
            </w:r>
          </w:p>
        </w:tc>
        <w:tc>
          <w:tcPr>
            <w:tcW w:w="1541"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10</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right"/>
              <w:rPr>
                <w:rFonts w:ascii="宋体" w:hAnsi="宋体" w:cs="宋体" w:hint="default"/>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十、节能环保支出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42</w:t>
            </w: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11</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right"/>
              <w:rPr>
                <w:rFonts w:ascii="宋体" w:hAnsi="宋体" w:cs="宋体" w:hint="default"/>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十一、城乡社区支出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43</w:t>
            </w: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12</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right"/>
              <w:rPr>
                <w:rFonts w:ascii="宋体" w:hAnsi="宋体" w:cs="宋体" w:hint="default"/>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十二、农林水支出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44</w:t>
            </w: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13</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right"/>
              <w:rPr>
                <w:rFonts w:ascii="宋体" w:hAnsi="宋体" w:cs="宋体" w:hint="default"/>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十三、交通运输支出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45</w:t>
            </w: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14</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right"/>
              <w:rPr>
                <w:rFonts w:ascii="宋体" w:hAnsi="宋体" w:cs="宋体" w:hint="default"/>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十四、资源勘探工业信息等支出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46</w:t>
            </w: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15</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right"/>
              <w:rPr>
                <w:rFonts w:ascii="宋体" w:hAnsi="宋体" w:cs="宋体" w:hint="default"/>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十五、商业服务业等支出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47</w:t>
            </w: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16</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right"/>
              <w:rPr>
                <w:rFonts w:ascii="宋体" w:hAnsi="宋体" w:cs="宋体" w:hint="default"/>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十六、金融支出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48</w:t>
            </w: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17</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right"/>
              <w:rPr>
                <w:rFonts w:ascii="宋体" w:hAnsi="宋体" w:cs="宋体" w:hint="default"/>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十七、援助其他地区支出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49</w:t>
            </w: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18</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right"/>
              <w:rPr>
                <w:rFonts w:ascii="宋体" w:hAnsi="宋体" w:cs="宋体" w:hint="default"/>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十八、自然资源海洋气象等支出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50</w:t>
            </w: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19</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right"/>
              <w:rPr>
                <w:rFonts w:ascii="宋体" w:hAnsi="宋体" w:cs="宋体" w:hint="default"/>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十九、住房保障支出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51</w:t>
            </w:r>
          </w:p>
        </w:tc>
        <w:tc>
          <w:tcPr>
            <w:tcW w:w="13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1,401.52</w:t>
            </w:r>
          </w:p>
        </w:tc>
        <w:tc>
          <w:tcPr>
            <w:tcW w:w="14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1,401.52</w:t>
            </w:r>
          </w:p>
        </w:tc>
        <w:tc>
          <w:tcPr>
            <w:tcW w:w="1541"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20</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right"/>
              <w:rPr>
                <w:rFonts w:ascii="宋体" w:hAnsi="宋体" w:cs="宋体" w:hint="default"/>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二十、粮油物资储备支出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52</w:t>
            </w: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21</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right"/>
              <w:rPr>
                <w:rFonts w:ascii="宋体" w:hAnsi="宋体" w:cs="宋体" w:hint="default"/>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二十一、国有资本经营预算支出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53</w:t>
            </w: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22</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right"/>
              <w:rPr>
                <w:rFonts w:ascii="宋体" w:hAnsi="宋体" w:cs="宋体" w:hint="default"/>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二十二、灾害防治及应急管理支出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54</w:t>
            </w: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23</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right"/>
              <w:rPr>
                <w:rFonts w:ascii="宋体" w:hAnsi="宋体" w:cs="宋体" w:hint="default"/>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二十三、其他支出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55</w:t>
            </w: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b/>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24</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right"/>
              <w:rPr>
                <w:rFonts w:ascii="宋体" w:hAnsi="宋体" w:cs="宋体" w:hint="default"/>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二十四、债务还本支出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56</w:t>
            </w: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25</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right"/>
              <w:rPr>
                <w:rFonts w:ascii="宋体" w:hAnsi="宋体" w:cs="宋体" w:hint="default"/>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二十五、债务付息支出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57</w:t>
            </w: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26</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right"/>
              <w:rPr>
                <w:rFonts w:ascii="宋体" w:hAnsi="宋体" w:cs="宋体" w:hint="default"/>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二十六、抗疫特别国债安排的支出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58</w:t>
            </w: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b/>
                <w:color w:val="000000"/>
                <w:sz w:val="22"/>
              </w:rPr>
            </w:pPr>
            <w:r>
              <w:rPr>
                <w:rFonts w:ascii="宋体" w:hAnsi="宋体" w:cs="宋体"/>
                <w:b/>
                <w:color w:val="000000"/>
                <w:kern w:val="0"/>
                <w:sz w:val="22"/>
              </w:rPr>
              <w:t>本年收入合计</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27</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54,107.59</w:t>
            </w: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b/>
                <w:color w:val="000000"/>
                <w:sz w:val="22"/>
              </w:rPr>
            </w:pPr>
            <w:r>
              <w:rPr>
                <w:rFonts w:ascii="宋体" w:hAnsi="宋体" w:cs="宋体"/>
                <w:b/>
                <w:color w:val="000000"/>
                <w:kern w:val="0"/>
                <w:sz w:val="22"/>
              </w:rPr>
              <w:t>本年支出合计</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59</w:t>
            </w:r>
          </w:p>
        </w:tc>
        <w:tc>
          <w:tcPr>
            <w:tcW w:w="13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37,214.92</w:t>
            </w:r>
          </w:p>
        </w:tc>
        <w:tc>
          <w:tcPr>
            <w:tcW w:w="14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37,214.92</w:t>
            </w:r>
          </w:p>
        </w:tc>
        <w:tc>
          <w:tcPr>
            <w:tcW w:w="1541"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年初财政拨款结转和结余</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28</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920.81</w:t>
            </w: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年末财政拨款结转和结余</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60</w:t>
            </w:r>
          </w:p>
        </w:tc>
        <w:tc>
          <w:tcPr>
            <w:tcW w:w="13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17,813.48</w:t>
            </w:r>
          </w:p>
        </w:tc>
        <w:tc>
          <w:tcPr>
            <w:tcW w:w="14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17,813.48</w:t>
            </w:r>
          </w:p>
        </w:tc>
        <w:tc>
          <w:tcPr>
            <w:tcW w:w="1541"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一般公共预算财政拨款</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29</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920.81</w:t>
            </w: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0"/>
                <w:szCs w:val="20"/>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61</w:t>
            </w: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0"/>
                <w:szCs w:val="20"/>
              </w:rPr>
            </w:pPr>
          </w:p>
        </w:tc>
        <w:tc>
          <w:tcPr>
            <w:tcW w:w="14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0"/>
                <w:szCs w:val="20"/>
              </w:rPr>
            </w:pPr>
          </w:p>
        </w:tc>
        <w:tc>
          <w:tcPr>
            <w:tcW w:w="1541"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0"/>
                <w:szCs w:val="20"/>
              </w:rPr>
            </w:pPr>
          </w:p>
        </w:tc>
        <w:tc>
          <w:tcPr>
            <w:tcW w:w="1519"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政府性基金预算财政拨款</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30</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right"/>
              <w:rPr>
                <w:rFonts w:ascii="宋体" w:hAnsi="宋体" w:cs="宋体" w:hint="default"/>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0"/>
                <w:szCs w:val="20"/>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62</w:t>
            </w: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0"/>
                <w:szCs w:val="20"/>
              </w:rPr>
            </w:pPr>
          </w:p>
        </w:tc>
        <w:tc>
          <w:tcPr>
            <w:tcW w:w="14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0"/>
                <w:szCs w:val="20"/>
              </w:rPr>
            </w:pPr>
          </w:p>
        </w:tc>
        <w:tc>
          <w:tcPr>
            <w:tcW w:w="1541"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0"/>
                <w:szCs w:val="20"/>
              </w:rPr>
            </w:pPr>
          </w:p>
        </w:tc>
        <w:tc>
          <w:tcPr>
            <w:tcW w:w="1519"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国有资本经营预算财政拨款</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31</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right"/>
              <w:rPr>
                <w:rFonts w:ascii="宋体" w:hAnsi="宋体" w:cs="宋体" w:hint="default"/>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63</w:t>
            </w:r>
          </w:p>
        </w:tc>
        <w:tc>
          <w:tcPr>
            <w:tcW w:w="13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b/>
                <w:color w:val="000000"/>
                <w:sz w:val="22"/>
              </w:rPr>
            </w:pPr>
            <w:r>
              <w:rPr>
                <w:rFonts w:ascii="宋体" w:hAnsi="宋体" w:cs="宋体"/>
                <w:b/>
                <w:color w:val="000000"/>
                <w:kern w:val="0"/>
                <w:sz w:val="22"/>
              </w:rPr>
              <w:t>总计</w:t>
            </w:r>
          </w:p>
        </w:tc>
        <w:tc>
          <w:tcPr>
            <w:tcW w:w="800" w:type="dxa"/>
            <w:tcBorders>
              <w:top w:val="nil"/>
              <w:left w:val="nil"/>
              <w:bottom w:val="single" w:sz="8"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32</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55,028.40</w:t>
            </w: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b/>
                <w:color w:val="000000"/>
                <w:sz w:val="22"/>
              </w:rPr>
            </w:pPr>
            <w:r>
              <w:rPr>
                <w:rFonts w:ascii="宋体" w:hAnsi="宋体" w:cs="宋体"/>
                <w:b/>
                <w:color w:val="000000"/>
                <w:kern w:val="0"/>
                <w:sz w:val="22"/>
              </w:rPr>
              <w:t>总计</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64</w:t>
            </w:r>
          </w:p>
        </w:tc>
        <w:tc>
          <w:tcPr>
            <w:tcW w:w="13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55,028.40</w:t>
            </w:r>
          </w:p>
        </w:tc>
        <w:tc>
          <w:tcPr>
            <w:tcW w:w="14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55,028.40</w:t>
            </w:r>
          </w:p>
        </w:tc>
        <w:tc>
          <w:tcPr>
            <w:tcW w:w="1541"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15282" w:type="dxa"/>
            <w:gridSpan w:val="9"/>
            <w:vMerge w:val="restart"/>
            <w:tcBorders>
              <w:top w:val="nil"/>
              <w:left w:val="nil"/>
              <w:bottom w:val="nil"/>
              <w:right w:val="nil"/>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注：本表反映部门本年度一般公共预算财政拨款、政府性基金预算财政拨款和国有资本经营预算财政拨款的总收支和年末结转结余情况。</w:t>
            </w:r>
          </w:p>
        </w:tc>
      </w:tr>
      <w:tr w:rsidR="00B87C8A">
        <w:trPr>
          <w:trHeight w:val="353"/>
        </w:trPr>
        <w:tc>
          <w:tcPr>
            <w:tcW w:w="15282" w:type="dxa"/>
            <w:gridSpan w:val="9"/>
            <w:vMerge/>
            <w:tcBorders>
              <w:top w:val="nil"/>
              <w:left w:val="nil"/>
              <w:bottom w:val="nil"/>
              <w:right w:val="nil"/>
              <w:tl2br w:val="nil"/>
              <w:tr2bl w:val="nil"/>
            </w:tcBorders>
            <w:noWrap/>
            <w:vAlign w:val="center"/>
          </w:tcPr>
          <w:p w:rsidR="00B87C8A" w:rsidRDefault="00B87C8A">
            <w:pPr>
              <w:widowControl/>
              <w:ind w:firstLine="0"/>
              <w:jc w:val="left"/>
              <w:rPr>
                <w:rFonts w:ascii="宋体" w:hAnsi="宋体" w:cs="宋体" w:hint="default"/>
                <w:color w:val="000000"/>
                <w:sz w:val="22"/>
              </w:rPr>
            </w:pPr>
          </w:p>
        </w:tc>
      </w:tr>
    </w:tbl>
    <w:p w:rsidR="00B87C8A" w:rsidRDefault="00B87C8A">
      <w:pPr>
        <w:widowControl/>
        <w:spacing w:line="600" w:lineRule="exact"/>
        <w:ind w:firstLine="0"/>
        <w:jc w:val="center"/>
        <w:rPr>
          <w:rFonts w:ascii="黑体" w:eastAsia="黑体" w:hAnsi="Times New Roman" w:cs="黑体" w:hint="default"/>
          <w:sz w:val="32"/>
          <w:szCs w:val="32"/>
        </w:rPr>
        <w:sectPr w:rsidR="00B87C8A">
          <w:pgSz w:w="16838" w:h="11906" w:orient="landscape"/>
          <w:pgMar w:top="720" w:right="873" w:bottom="720" w:left="720" w:header="720" w:footer="720" w:gutter="0"/>
          <w:cols w:space="720"/>
        </w:sectPr>
      </w:pPr>
    </w:p>
    <w:tbl>
      <w:tblPr>
        <w:tblW w:w="15282" w:type="dxa"/>
        <w:tblInd w:w="96" w:type="dxa"/>
        <w:tblLayout w:type="fixed"/>
        <w:tblLook w:val="04A0"/>
      </w:tblPr>
      <w:tblGrid>
        <w:gridCol w:w="1614"/>
        <w:gridCol w:w="236"/>
        <w:gridCol w:w="723"/>
        <w:gridCol w:w="4196"/>
        <w:gridCol w:w="2538"/>
        <w:gridCol w:w="2458"/>
        <w:gridCol w:w="3517"/>
      </w:tblGrid>
      <w:tr w:rsidR="00B87C8A">
        <w:trPr>
          <w:trHeight w:val="384"/>
        </w:trPr>
        <w:tc>
          <w:tcPr>
            <w:tcW w:w="15282" w:type="dxa"/>
            <w:gridSpan w:val="7"/>
            <w:tcBorders>
              <w:top w:val="nil"/>
              <w:left w:val="nil"/>
              <w:bottom w:val="nil"/>
              <w:right w:val="nil"/>
              <w:tl2br w:val="nil"/>
              <w:tr2bl w:val="nil"/>
            </w:tcBorders>
            <w:noWrap/>
            <w:vAlign w:val="bottom"/>
          </w:tcPr>
          <w:p w:rsidR="00B87C8A" w:rsidRDefault="002D1C8A">
            <w:pPr>
              <w:widowControl/>
              <w:ind w:firstLine="0"/>
              <w:jc w:val="center"/>
              <w:textAlignment w:val="bottom"/>
              <w:rPr>
                <w:rFonts w:ascii="宋体" w:hAnsi="宋体" w:cs="宋体" w:hint="default"/>
                <w:color w:val="000000"/>
                <w:sz w:val="30"/>
                <w:szCs w:val="30"/>
              </w:rPr>
            </w:pPr>
            <w:r>
              <w:rPr>
                <w:rFonts w:ascii="宋体" w:hAnsi="宋体" w:cs="宋体"/>
                <w:color w:val="000000"/>
                <w:kern w:val="0"/>
                <w:sz w:val="30"/>
                <w:szCs w:val="30"/>
              </w:rPr>
              <w:lastRenderedPageBreak/>
              <w:t>五、一般公共预算财政拨款支出决算表</w:t>
            </w:r>
          </w:p>
        </w:tc>
      </w:tr>
      <w:tr w:rsidR="00B87C8A">
        <w:trPr>
          <w:trHeight w:val="264"/>
        </w:trPr>
        <w:tc>
          <w:tcPr>
            <w:tcW w:w="1616"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222"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724"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4200"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2540"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2460"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3520" w:type="dxa"/>
            <w:tcBorders>
              <w:top w:val="nil"/>
              <w:left w:val="nil"/>
              <w:bottom w:val="nil"/>
              <w:right w:val="nil"/>
              <w:tl2br w:val="nil"/>
              <w:tr2bl w:val="nil"/>
            </w:tcBorders>
            <w:noWrap/>
            <w:vAlign w:val="bottom"/>
          </w:tcPr>
          <w:p w:rsidR="00B87C8A" w:rsidRDefault="002D1C8A">
            <w:pPr>
              <w:widowControl/>
              <w:ind w:firstLine="0"/>
              <w:jc w:val="right"/>
              <w:textAlignment w:val="bottom"/>
              <w:rPr>
                <w:rFonts w:ascii="宋体" w:hAnsi="宋体" w:cs="宋体" w:hint="default"/>
                <w:color w:val="000000"/>
                <w:sz w:val="20"/>
                <w:szCs w:val="20"/>
              </w:rPr>
            </w:pPr>
            <w:r>
              <w:rPr>
                <w:rFonts w:ascii="宋体" w:hAnsi="宋体" w:cs="宋体"/>
                <w:color w:val="000000"/>
                <w:kern w:val="0"/>
                <w:sz w:val="20"/>
                <w:szCs w:val="20"/>
              </w:rPr>
              <w:t>公开05表</w:t>
            </w:r>
          </w:p>
        </w:tc>
      </w:tr>
      <w:tr w:rsidR="00B87C8A">
        <w:trPr>
          <w:trHeight w:val="264"/>
        </w:trPr>
        <w:tc>
          <w:tcPr>
            <w:tcW w:w="1616" w:type="dxa"/>
            <w:tcBorders>
              <w:top w:val="nil"/>
              <w:left w:val="nil"/>
              <w:bottom w:val="nil"/>
              <w:right w:val="nil"/>
              <w:tl2br w:val="nil"/>
              <w:tr2bl w:val="nil"/>
            </w:tcBorders>
            <w:noWrap/>
            <w:vAlign w:val="bottom"/>
          </w:tcPr>
          <w:p w:rsidR="00B87C8A" w:rsidRDefault="002D1C8A">
            <w:pPr>
              <w:widowControl/>
              <w:ind w:firstLine="0"/>
              <w:jc w:val="left"/>
              <w:textAlignment w:val="bottom"/>
              <w:rPr>
                <w:rFonts w:ascii="宋体" w:hAnsi="宋体" w:cs="宋体" w:hint="default"/>
                <w:color w:val="000000"/>
                <w:sz w:val="20"/>
                <w:szCs w:val="20"/>
              </w:rPr>
            </w:pPr>
            <w:r>
              <w:rPr>
                <w:rFonts w:ascii="宋体" w:hAnsi="宋体" w:cs="宋体"/>
                <w:color w:val="000000"/>
                <w:kern w:val="0"/>
                <w:sz w:val="20"/>
                <w:szCs w:val="20"/>
              </w:rPr>
              <w:t>部门：吉首大学</w:t>
            </w:r>
          </w:p>
        </w:tc>
        <w:tc>
          <w:tcPr>
            <w:tcW w:w="222"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724"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4200"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2540"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2460"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3520" w:type="dxa"/>
            <w:tcBorders>
              <w:top w:val="nil"/>
              <w:left w:val="nil"/>
              <w:bottom w:val="nil"/>
              <w:right w:val="nil"/>
              <w:tl2br w:val="nil"/>
              <w:tr2bl w:val="nil"/>
            </w:tcBorders>
            <w:noWrap/>
            <w:vAlign w:val="bottom"/>
          </w:tcPr>
          <w:p w:rsidR="00B87C8A" w:rsidRDefault="002D1C8A">
            <w:pPr>
              <w:widowControl/>
              <w:ind w:firstLine="0"/>
              <w:jc w:val="right"/>
              <w:textAlignment w:val="bottom"/>
              <w:rPr>
                <w:rFonts w:ascii="宋体" w:hAnsi="宋体" w:cs="宋体" w:hint="default"/>
                <w:color w:val="000000"/>
                <w:sz w:val="20"/>
                <w:szCs w:val="20"/>
              </w:rPr>
            </w:pPr>
            <w:r>
              <w:rPr>
                <w:rFonts w:ascii="宋体" w:hAnsi="宋体" w:cs="宋体"/>
                <w:color w:val="000000"/>
                <w:kern w:val="0"/>
                <w:sz w:val="20"/>
                <w:szCs w:val="20"/>
              </w:rPr>
              <w:t>金额单位：万元</w:t>
            </w:r>
          </w:p>
        </w:tc>
      </w:tr>
      <w:tr w:rsidR="00B87C8A">
        <w:trPr>
          <w:trHeight w:val="308"/>
        </w:trPr>
        <w:tc>
          <w:tcPr>
            <w:tcW w:w="6762" w:type="dxa"/>
            <w:gridSpan w:val="4"/>
            <w:tcBorders>
              <w:top w:val="single" w:sz="4" w:space="0" w:color="000000"/>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项目</w:t>
            </w:r>
          </w:p>
        </w:tc>
        <w:tc>
          <w:tcPr>
            <w:tcW w:w="8520" w:type="dxa"/>
            <w:gridSpan w:val="3"/>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本年支出</w:t>
            </w:r>
          </w:p>
        </w:tc>
      </w:tr>
      <w:tr w:rsidR="00B87C8A">
        <w:trPr>
          <w:trHeight w:val="308"/>
        </w:trPr>
        <w:tc>
          <w:tcPr>
            <w:tcW w:w="2562" w:type="dxa"/>
            <w:gridSpan w:val="3"/>
            <w:vMerge w:val="restart"/>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功能分类科目编码</w:t>
            </w:r>
          </w:p>
        </w:tc>
        <w:tc>
          <w:tcPr>
            <w:tcW w:w="4200"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科目名称</w:t>
            </w:r>
          </w:p>
        </w:tc>
        <w:tc>
          <w:tcPr>
            <w:tcW w:w="2540"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小计</w:t>
            </w:r>
          </w:p>
        </w:tc>
        <w:tc>
          <w:tcPr>
            <w:tcW w:w="2460"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基本支出</w:t>
            </w:r>
          </w:p>
        </w:tc>
        <w:tc>
          <w:tcPr>
            <w:tcW w:w="3520"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项目支出</w:t>
            </w:r>
          </w:p>
        </w:tc>
      </w:tr>
      <w:tr w:rsidR="00B87C8A">
        <w:trPr>
          <w:trHeight w:val="285"/>
        </w:trPr>
        <w:tc>
          <w:tcPr>
            <w:tcW w:w="2562" w:type="dxa"/>
            <w:gridSpan w:val="3"/>
            <w:vMerge/>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420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254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246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352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r>
      <w:tr w:rsidR="00B87C8A">
        <w:trPr>
          <w:trHeight w:val="615"/>
        </w:trPr>
        <w:tc>
          <w:tcPr>
            <w:tcW w:w="2562" w:type="dxa"/>
            <w:gridSpan w:val="3"/>
            <w:vMerge/>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420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254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246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352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r>
      <w:tr w:rsidR="00B87C8A">
        <w:trPr>
          <w:trHeight w:val="308"/>
        </w:trPr>
        <w:tc>
          <w:tcPr>
            <w:tcW w:w="6762" w:type="dxa"/>
            <w:gridSpan w:val="4"/>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栏次</w:t>
            </w:r>
          </w:p>
        </w:tc>
        <w:tc>
          <w:tcPr>
            <w:tcW w:w="254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1</w:t>
            </w:r>
          </w:p>
        </w:tc>
        <w:tc>
          <w:tcPr>
            <w:tcW w:w="246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2</w:t>
            </w:r>
          </w:p>
        </w:tc>
        <w:tc>
          <w:tcPr>
            <w:tcW w:w="35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3</w:t>
            </w:r>
          </w:p>
        </w:tc>
      </w:tr>
      <w:tr w:rsidR="00B87C8A">
        <w:trPr>
          <w:trHeight w:val="308"/>
        </w:trPr>
        <w:tc>
          <w:tcPr>
            <w:tcW w:w="6762" w:type="dxa"/>
            <w:gridSpan w:val="4"/>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合计</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b/>
                <w:color w:val="000000"/>
                <w:sz w:val="22"/>
              </w:rPr>
            </w:pPr>
            <w:r>
              <w:rPr>
                <w:rFonts w:ascii="宋体" w:hAnsi="宋体" w:cs="宋体"/>
                <w:b/>
                <w:color w:val="000000"/>
                <w:kern w:val="0"/>
                <w:sz w:val="22"/>
              </w:rPr>
              <w:t>37,214.92</w:t>
            </w:r>
          </w:p>
        </w:tc>
        <w:tc>
          <w:tcPr>
            <w:tcW w:w="246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b/>
                <w:color w:val="000000"/>
                <w:sz w:val="22"/>
              </w:rPr>
            </w:pPr>
            <w:r>
              <w:rPr>
                <w:rFonts w:ascii="宋体" w:hAnsi="宋体" w:cs="宋体"/>
                <w:b/>
                <w:color w:val="000000"/>
                <w:kern w:val="0"/>
                <w:sz w:val="22"/>
              </w:rPr>
              <w:t>25,701.46</w:t>
            </w: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b/>
                <w:color w:val="000000"/>
                <w:sz w:val="22"/>
              </w:rPr>
            </w:pPr>
            <w:r>
              <w:rPr>
                <w:rFonts w:ascii="宋体" w:hAnsi="宋体" w:cs="宋体"/>
                <w:b/>
                <w:color w:val="000000"/>
                <w:kern w:val="0"/>
                <w:sz w:val="22"/>
              </w:rPr>
              <w:t>11,513.46</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201</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一般公共服务支出</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56.89</w:t>
            </w:r>
          </w:p>
        </w:tc>
        <w:tc>
          <w:tcPr>
            <w:tcW w:w="24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56.89</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20104</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发展与改革事务</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5.39</w:t>
            </w:r>
          </w:p>
        </w:tc>
        <w:tc>
          <w:tcPr>
            <w:tcW w:w="24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5.39</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2010499</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其他发展与改革事务支出</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5.39</w:t>
            </w:r>
          </w:p>
        </w:tc>
        <w:tc>
          <w:tcPr>
            <w:tcW w:w="24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5.39</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20123</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民族事务</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24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2012304</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民族工作专项</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24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20129</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群众团体事务</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1.50</w:t>
            </w:r>
          </w:p>
        </w:tc>
        <w:tc>
          <w:tcPr>
            <w:tcW w:w="24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1.50</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2012902</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一般行政管理事务</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1.50</w:t>
            </w:r>
          </w:p>
        </w:tc>
        <w:tc>
          <w:tcPr>
            <w:tcW w:w="24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1.50</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205</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教育支出</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31,788.52</w:t>
            </w:r>
          </w:p>
        </w:tc>
        <w:tc>
          <w:tcPr>
            <w:tcW w:w="246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21,144.94</w:t>
            </w: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10,643.57</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20502</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普通教育</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31,788.52</w:t>
            </w:r>
          </w:p>
        </w:tc>
        <w:tc>
          <w:tcPr>
            <w:tcW w:w="246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21,144.94</w:t>
            </w: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10,643.57</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2050205</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高等教育</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31,788.52</w:t>
            </w:r>
          </w:p>
        </w:tc>
        <w:tc>
          <w:tcPr>
            <w:tcW w:w="246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21,144.94</w:t>
            </w: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10,643.57</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科学技术支出</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480.20</w:t>
            </w:r>
          </w:p>
        </w:tc>
        <w:tc>
          <w:tcPr>
            <w:tcW w:w="24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480.20</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20602</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基础研究</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115.00</w:t>
            </w:r>
          </w:p>
        </w:tc>
        <w:tc>
          <w:tcPr>
            <w:tcW w:w="24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115.00</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2060203</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自然科学基金</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115.00</w:t>
            </w:r>
          </w:p>
        </w:tc>
        <w:tc>
          <w:tcPr>
            <w:tcW w:w="24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115.00</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20603</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应用研究</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100.00</w:t>
            </w:r>
          </w:p>
        </w:tc>
        <w:tc>
          <w:tcPr>
            <w:tcW w:w="24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100.00</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2060303</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高技术研究</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100.00</w:t>
            </w:r>
          </w:p>
        </w:tc>
        <w:tc>
          <w:tcPr>
            <w:tcW w:w="24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100.00</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20605</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科技条件与服务</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20.00</w:t>
            </w:r>
          </w:p>
        </w:tc>
        <w:tc>
          <w:tcPr>
            <w:tcW w:w="24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20.00</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2060599</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其他科技条件与服务支出</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20.00</w:t>
            </w:r>
          </w:p>
        </w:tc>
        <w:tc>
          <w:tcPr>
            <w:tcW w:w="24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20.00</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20606</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社会科学</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145.20</w:t>
            </w:r>
          </w:p>
        </w:tc>
        <w:tc>
          <w:tcPr>
            <w:tcW w:w="24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145.20</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2060699</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其他社会科学支出</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145.20</w:t>
            </w:r>
          </w:p>
        </w:tc>
        <w:tc>
          <w:tcPr>
            <w:tcW w:w="24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145.20</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20607</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科学技术普及</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15.00</w:t>
            </w:r>
          </w:p>
        </w:tc>
        <w:tc>
          <w:tcPr>
            <w:tcW w:w="24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15.00</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2060702</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科普活动</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10.00</w:t>
            </w:r>
          </w:p>
        </w:tc>
        <w:tc>
          <w:tcPr>
            <w:tcW w:w="24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10.00</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2060799</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其他科学技术普及支出</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w:t>
            </w:r>
          </w:p>
        </w:tc>
        <w:tc>
          <w:tcPr>
            <w:tcW w:w="24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20609</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科技重大项目</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24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lastRenderedPageBreak/>
              <w:t>2060902</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重点研发计划</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24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20699</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其他科学技术支出</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35.00</w:t>
            </w:r>
          </w:p>
        </w:tc>
        <w:tc>
          <w:tcPr>
            <w:tcW w:w="24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35.00</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2069901</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科技奖励</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35.00</w:t>
            </w:r>
          </w:p>
        </w:tc>
        <w:tc>
          <w:tcPr>
            <w:tcW w:w="24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35.00</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207</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文化旅游体育与传媒支出</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24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20701</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文化和旅游</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24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2070199</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其他文化和旅游支出</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c>
          <w:tcPr>
            <w:tcW w:w="24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50.00</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208</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社会保障和就业支出</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3,184.60</w:t>
            </w:r>
          </w:p>
        </w:tc>
        <w:tc>
          <w:tcPr>
            <w:tcW w:w="246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3,155.00</w:t>
            </w: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29.60</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20805</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行政事业单位养老支出</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3,155.00</w:t>
            </w:r>
          </w:p>
        </w:tc>
        <w:tc>
          <w:tcPr>
            <w:tcW w:w="246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3,155.00</w:t>
            </w:r>
          </w:p>
        </w:tc>
        <w:tc>
          <w:tcPr>
            <w:tcW w:w="35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2080505</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机关事业单位基本养老保险缴费支出</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3,155.00</w:t>
            </w:r>
          </w:p>
        </w:tc>
        <w:tc>
          <w:tcPr>
            <w:tcW w:w="246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3,155.00</w:t>
            </w:r>
          </w:p>
        </w:tc>
        <w:tc>
          <w:tcPr>
            <w:tcW w:w="35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20807</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就业补助</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29.60</w:t>
            </w:r>
          </w:p>
        </w:tc>
        <w:tc>
          <w:tcPr>
            <w:tcW w:w="24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29.60</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2080799</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其他就业补助支出</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29.60</w:t>
            </w:r>
          </w:p>
        </w:tc>
        <w:tc>
          <w:tcPr>
            <w:tcW w:w="24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29.60</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210</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卫生健康支出</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253.20</w:t>
            </w:r>
          </w:p>
        </w:tc>
        <w:tc>
          <w:tcPr>
            <w:tcW w:w="24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253.20</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21004</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公共卫生</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251.20</w:t>
            </w:r>
          </w:p>
        </w:tc>
        <w:tc>
          <w:tcPr>
            <w:tcW w:w="24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251.20</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2100409</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重大公共卫生服务</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188.00</w:t>
            </w:r>
          </w:p>
        </w:tc>
        <w:tc>
          <w:tcPr>
            <w:tcW w:w="24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188.00</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2100499</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其他公共卫生支出</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63.20</w:t>
            </w:r>
          </w:p>
        </w:tc>
        <w:tc>
          <w:tcPr>
            <w:tcW w:w="24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63.20</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21006</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中医药</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2.00</w:t>
            </w:r>
          </w:p>
        </w:tc>
        <w:tc>
          <w:tcPr>
            <w:tcW w:w="24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2.00</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2100601</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中医（民族医）药专项</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2.00</w:t>
            </w:r>
          </w:p>
        </w:tc>
        <w:tc>
          <w:tcPr>
            <w:tcW w:w="24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35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2.00</w:t>
            </w: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221</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住房保障支出</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1,401.52</w:t>
            </w:r>
          </w:p>
        </w:tc>
        <w:tc>
          <w:tcPr>
            <w:tcW w:w="246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1,401.52</w:t>
            </w:r>
          </w:p>
        </w:tc>
        <w:tc>
          <w:tcPr>
            <w:tcW w:w="35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22102</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住房改革支出</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1,401.52</w:t>
            </w:r>
          </w:p>
        </w:tc>
        <w:tc>
          <w:tcPr>
            <w:tcW w:w="246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1,401.52</w:t>
            </w:r>
          </w:p>
        </w:tc>
        <w:tc>
          <w:tcPr>
            <w:tcW w:w="35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2562"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2210201</w:t>
            </w:r>
          </w:p>
        </w:tc>
        <w:tc>
          <w:tcPr>
            <w:tcW w:w="420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住房公积金</w:t>
            </w:r>
          </w:p>
        </w:tc>
        <w:tc>
          <w:tcPr>
            <w:tcW w:w="254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1,401.52</w:t>
            </w:r>
          </w:p>
        </w:tc>
        <w:tc>
          <w:tcPr>
            <w:tcW w:w="246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right"/>
              <w:textAlignment w:val="center"/>
              <w:rPr>
                <w:rFonts w:ascii="宋体" w:hAnsi="宋体" w:cs="宋体" w:hint="default"/>
                <w:color w:val="000000"/>
                <w:sz w:val="22"/>
              </w:rPr>
            </w:pPr>
            <w:r>
              <w:rPr>
                <w:rFonts w:ascii="宋体" w:hAnsi="宋体" w:cs="宋体"/>
                <w:color w:val="000000"/>
                <w:kern w:val="0"/>
                <w:sz w:val="22"/>
              </w:rPr>
              <w:t>1,401.52</w:t>
            </w:r>
          </w:p>
        </w:tc>
        <w:tc>
          <w:tcPr>
            <w:tcW w:w="35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15282" w:type="dxa"/>
            <w:gridSpan w:val="7"/>
            <w:tcBorders>
              <w:top w:val="nil"/>
              <w:left w:val="nil"/>
              <w:bottom w:val="nil"/>
              <w:right w:val="nil"/>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注：本表反映部门本年度一般公共预算财政拨款支出情况。</w:t>
            </w:r>
          </w:p>
        </w:tc>
      </w:tr>
    </w:tbl>
    <w:p w:rsidR="00B87C8A" w:rsidRDefault="00B87C8A">
      <w:pPr>
        <w:widowControl/>
        <w:spacing w:line="600" w:lineRule="exact"/>
        <w:ind w:firstLine="0"/>
        <w:jc w:val="center"/>
        <w:rPr>
          <w:rFonts w:ascii="黑体" w:eastAsia="黑体" w:hAnsi="Times New Roman" w:cs="黑体" w:hint="default"/>
          <w:sz w:val="32"/>
          <w:szCs w:val="32"/>
        </w:rPr>
        <w:sectPr w:rsidR="00B87C8A">
          <w:pgSz w:w="16838" w:h="11906" w:orient="landscape"/>
          <w:pgMar w:top="720" w:right="873" w:bottom="720" w:left="720" w:header="720" w:footer="720" w:gutter="0"/>
          <w:cols w:space="720"/>
        </w:sectPr>
      </w:pPr>
    </w:p>
    <w:tbl>
      <w:tblPr>
        <w:tblW w:w="15220" w:type="dxa"/>
        <w:tblInd w:w="96" w:type="dxa"/>
        <w:tblLayout w:type="fixed"/>
        <w:tblLook w:val="04A0"/>
      </w:tblPr>
      <w:tblGrid>
        <w:gridCol w:w="1204"/>
        <w:gridCol w:w="2688"/>
        <w:gridCol w:w="1224"/>
        <w:gridCol w:w="1176"/>
        <w:gridCol w:w="2328"/>
        <w:gridCol w:w="1200"/>
        <w:gridCol w:w="1272"/>
        <w:gridCol w:w="2208"/>
        <w:gridCol w:w="1920"/>
      </w:tblGrid>
      <w:tr w:rsidR="00B87C8A">
        <w:trPr>
          <w:trHeight w:val="384"/>
        </w:trPr>
        <w:tc>
          <w:tcPr>
            <w:tcW w:w="15220" w:type="dxa"/>
            <w:gridSpan w:val="9"/>
            <w:tcBorders>
              <w:top w:val="nil"/>
              <w:left w:val="nil"/>
              <w:bottom w:val="nil"/>
              <w:right w:val="nil"/>
              <w:tl2br w:val="nil"/>
              <w:tr2bl w:val="nil"/>
            </w:tcBorders>
            <w:noWrap/>
            <w:vAlign w:val="bottom"/>
          </w:tcPr>
          <w:p w:rsidR="00B87C8A" w:rsidRDefault="002D1C8A">
            <w:pPr>
              <w:widowControl/>
              <w:ind w:firstLine="0"/>
              <w:jc w:val="center"/>
              <w:textAlignment w:val="bottom"/>
              <w:rPr>
                <w:rFonts w:ascii="宋体" w:hAnsi="宋体" w:cs="宋体" w:hint="default"/>
                <w:color w:val="000000"/>
                <w:sz w:val="30"/>
                <w:szCs w:val="30"/>
              </w:rPr>
            </w:pPr>
            <w:r>
              <w:rPr>
                <w:rFonts w:ascii="宋体" w:hAnsi="宋体" w:cs="宋体"/>
                <w:color w:val="000000"/>
                <w:kern w:val="0"/>
                <w:sz w:val="30"/>
                <w:szCs w:val="30"/>
              </w:rPr>
              <w:lastRenderedPageBreak/>
              <w:t>六、一般公共预算财政拨款基本支出决算表</w:t>
            </w:r>
          </w:p>
        </w:tc>
      </w:tr>
      <w:tr w:rsidR="00B87C8A">
        <w:trPr>
          <w:trHeight w:val="90"/>
        </w:trPr>
        <w:tc>
          <w:tcPr>
            <w:tcW w:w="1204" w:type="dxa"/>
            <w:tcBorders>
              <w:top w:val="nil"/>
              <w:left w:val="nil"/>
              <w:bottom w:val="nil"/>
              <w:right w:val="nil"/>
              <w:tl2br w:val="nil"/>
              <w:tr2bl w:val="nil"/>
            </w:tcBorders>
            <w:noWrap/>
            <w:vAlign w:val="bottom"/>
          </w:tcPr>
          <w:p w:rsidR="00B87C8A" w:rsidRDefault="00B87C8A">
            <w:pPr>
              <w:widowControl/>
              <w:ind w:firstLine="0"/>
              <w:jc w:val="left"/>
              <w:rPr>
                <w:rFonts w:ascii="Arial" w:hAnsi="Arial" w:cs="Arial" w:hint="default"/>
                <w:color w:val="000000"/>
                <w:sz w:val="20"/>
                <w:szCs w:val="20"/>
              </w:rPr>
            </w:pPr>
          </w:p>
        </w:tc>
        <w:tc>
          <w:tcPr>
            <w:tcW w:w="2688" w:type="dxa"/>
            <w:tcBorders>
              <w:top w:val="nil"/>
              <w:left w:val="nil"/>
              <w:bottom w:val="nil"/>
              <w:right w:val="nil"/>
              <w:tl2br w:val="nil"/>
              <w:tr2bl w:val="nil"/>
            </w:tcBorders>
            <w:noWrap/>
            <w:vAlign w:val="bottom"/>
          </w:tcPr>
          <w:p w:rsidR="00B87C8A" w:rsidRDefault="00B87C8A">
            <w:pPr>
              <w:widowControl/>
              <w:ind w:firstLine="0"/>
              <w:jc w:val="left"/>
              <w:rPr>
                <w:rFonts w:ascii="Arial" w:hAnsi="Arial" w:cs="Arial" w:hint="default"/>
                <w:color w:val="000000"/>
                <w:sz w:val="20"/>
                <w:szCs w:val="20"/>
              </w:rPr>
            </w:pPr>
          </w:p>
        </w:tc>
        <w:tc>
          <w:tcPr>
            <w:tcW w:w="1224" w:type="dxa"/>
            <w:tcBorders>
              <w:top w:val="nil"/>
              <w:left w:val="nil"/>
              <w:bottom w:val="nil"/>
              <w:right w:val="nil"/>
              <w:tl2br w:val="nil"/>
              <w:tr2bl w:val="nil"/>
            </w:tcBorders>
            <w:noWrap/>
            <w:vAlign w:val="bottom"/>
          </w:tcPr>
          <w:p w:rsidR="00B87C8A" w:rsidRDefault="00B87C8A">
            <w:pPr>
              <w:widowControl/>
              <w:ind w:firstLine="0"/>
              <w:jc w:val="left"/>
              <w:rPr>
                <w:rFonts w:ascii="Arial" w:hAnsi="Arial" w:cs="Arial" w:hint="default"/>
                <w:color w:val="000000"/>
                <w:sz w:val="20"/>
                <w:szCs w:val="20"/>
              </w:rPr>
            </w:pPr>
          </w:p>
        </w:tc>
        <w:tc>
          <w:tcPr>
            <w:tcW w:w="1176" w:type="dxa"/>
            <w:tcBorders>
              <w:top w:val="nil"/>
              <w:left w:val="nil"/>
              <w:bottom w:val="nil"/>
              <w:right w:val="nil"/>
              <w:tl2br w:val="nil"/>
              <w:tr2bl w:val="nil"/>
            </w:tcBorders>
            <w:noWrap/>
            <w:vAlign w:val="bottom"/>
          </w:tcPr>
          <w:p w:rsidR="00B87C8A" w:rsidRDefault="00B87C8A">
            <w:pPr>
              <w:widowControl/>
              <w:ind w:firstLine="0"/>
              <w:jc w:val="left"/>
              <w:rPr>
                <w:rFonts w:ascii="Arial" w:hAnsi="Arial" w:cs="Arial" w:hint="default"/>
                <w:color w:val="000000"/>
                <w:sz w:val="20"/>
                <w:szCs w:val="20"/>
              </w:rPr>
            </w:pPr>
          </w:p>
        </w:tc>
        <w:tc>
          <w:tcPr>
            <w:tcW w:w="2328" w:type="dxa"/>
            <w:tcBorders>
              <w:top w:val="nil"/>
              <w:left w:val="nil"/>
              <w:bottom w:val="nil"/>
              <w:right w:val="nil"/>
              <w:tl2br w:val="nil"/>
              <w:tr2bl w:val="nil"/>
            </w:tcBorders>
            <w:noWrap/>
            <w:vAlign w:val="bottom"/>
          </w:tcPr>
          <w:p w:rsidR="00B87C8A" w:rsidRDefault="00B87C8A">
            <w:pPr>
              <w:widowControl/>
              <w:ind w:firstLine="0"/>
              <w:jc w:val="left"/>
              <w:rPr>
                <w:rFonts w:ascii="Arial" w:hAnsi="Arial" w:cs="Arial" w:hint="default"/>
                <w:color w:val="000000"/>
                <w:sz w:val="20"/>
                <w:szCs w:val="20"/>
              </w:rPr>
            </w:pPr>
          </w:p>
        </w:tc>
        <w:tc>
          <w:tcPr>
            <w:tcW w:w="1200" w:type="dxa"/>
            <w:tcBorders>
              <w:top w:val="nil"/>
              <w:left w:val="nil"/>
              <w:bottom w:val="nil"/>
              <w:right w:val="nil"/>
              <w:tl2br w:val="nil"/>
              <w:tr2bl w:val="nil"/>
            </w:tcBorders>
            <w:noWrap/>
            <w:vAlign w:val="bottom"/>
          </w:tcPr>
          <w:p w:rsidR="00B87C8A" w:rsidRDefault="00B87C8A">
            <w:pPr>
              <w:widowControl/>
              <w:ind w:firstLine="0"/>
              <w:jc w:val="left"/>
              <w:rPr>
                <w:rFonts w:ascii="Arial" w:hAnsi="Arial" w:cs="Arial" w:hint="default"/>
                <w:color w:val="000000"/>
                <w:sz w:val="20"/>
                <w:szCs w:val="20"/>
              </w:rPr>
            </w:pPr>
          </w:p>
        </w:tc>
        <w:tc>
          <w:tcPr>
            <w:tcW w:w="1272" w:type="dxa"/>
            <w:tcBorders>
              <w:top w:val="nil"/>
              <w:left w:val="nil"/>
              <w:bottom w:val="nil"/>
              <w:right w:val="nil"/>
              <w:tl2br w:val="nil"/>
              <w:tr2bl w:val="nil"/>
            </w:tcBorders>
            <w:noWrap/>
            <w:vAlign w:val="bottom"/>
          </w:tcPr>
          <w:p w:rsidR="00B87C8A" w:rsidRDefault="00B87C8A">
            <w:pPr>
              <w:widowControl/>
              <w:ind w:firstLine="0"/>
              <w:jc w:val="left"/>
              <w:rPr>
                <w:rFonts w:ascii="Arial" w:hAnsi="Arial" w:cs="Arial" w:hint="default"/>
                <w:color w:val="000000"/>
                <w:sz w:val="20"/>
                <w:szCs w:val="20"/>
              </w:rPr>
            </w:pPr>
          </w:p>
        </w:tc>
        <w:tc>
          <w:tcPr>
            <w:tcW w:w="2208" w:type="dxa"/>
            <w:tcBorders>
              <w:top w:val="nil"/>
              <w:left w:val="nil"/>
              <w:bottom w:val="nil"/>
              <w:right w:val="nil"/>
              <w:tl2br w:val="nil"/>
              <w:tr2bl w:val="nil"/>
            </w:tcBorders>
            <w:noWrap/>
            <w:vAlign w:val="bottom"/>
          </w:tcPr>
          <w:p w:rsidR="00B87C8A" w:rsidRDefault="00B87C8A">
            <w:pPr>
              <w:widowControl/>
              <w:ind w:firstLine="0"/>
              <w:jc w:val="left"/>
              <w:rPr>
                <w:rFonts w:ascii="Arial" w:hAnsi="Arial" w:cs="Arial" w:hint="default"/>
                <w:color w:val="000000"/>
                <w:sz w:val="20"/>
                <w:szCs w:val="20"/>
              </w:rPr>
            </w:pPr>
          </w:p>
        </w:tc>
        <w:tc>
          <w:tcPr>
            <w:tcW w:w="1920" w:type="dxa"/>
            <w:tcBorders>
              <w:top w:val="nil"/>
              <w:left w:val="nil"/>
              <w:bottom w:val="nil"/>
              <w:right w:val="nil"/>
              <w:tl2br w:val="nil"/>
              <w:tr2bl w:val="nil"/>
            </w:tcBorders>
            <w:noWrap/>
            <w:vAlign w:val="bottom"/>
          </w:tcPr>
          <w:p w:rsidR="00B87C8A" w:rsidRDefault="002D1C8A">
            <w:pPr>
              <w:widowControl/>
              <w:ind w:firstLine="0"/>
              <w:jc w:val="right"/>
              <w:textAlignment w:val="bottom"/>
              <w:rPr>
                <w:rFonts w:ascii="宋体" w:hAnsi="宋体" w:cs="宋体" w:hint="default"/>
                <w:color w:val="000000"/>
                <w:sz w:val="20"/>
                <w:szCs w:val="20"/>
              </w:rPr>
            </w:pPr>
            <w:r>
              <w:rPr>
                <w:rFonts w:ascii="宋体" w:hAnsi="宋体" w:cs="宋体"/>
                <w:color w:val="000000"/>
                <w:kern w:val="0"/>
                <w:sz w:val="20"/>
                <w:szCs w:val="20"/>
              </w:rPr>
              <w:t>公开06表</w:t>
            </w:r>
          </w:p>
        </w:tc>
      </w:tr>
      <w:tr w:rsidR="00B87C8A">
        <w:trPr>
          <w:trHeight w:val="264"/>
        </w:trPr>
        <w:tc>
          <w:tcPr>
            <w:tcW w:w="3892" w:type="dxa"/>
            <w:gridSpan w:val="2"/>
            <w:tcBorders>
              <w:top w:val="nil"/>
              <w:left w:val="nil"/>
              <w:bottom w:val="nil"/>
              <w:right w:val="nil"/>
              <w:tl2br w:val="nil"/>
              <w:tr2bl w:val="nil"/>
            </w:tcBorders>
            <w:noWrap/>
            <w:vAlign w:val="bottom"/>
          </w:tcPr>
          <w:p w:rsidR="00B87C8A" w:rsidRDefault="002D1C8A">
            <w:pPr>
              <w:widowControl/>
              <w:ind w:firstLine="0"/>
              <w:jc w:val="left"/>
              <w:rPr>
                <w:rFonts w:ascii="Arial" w:hAnsi="Arial" w:cs="Arial" w:hint="default"/>
                <w:color w:val="000000"/>
                <w:sz w:val="20"/>
                <w:szCs w:val="20"/>
              </w:rPr>
            </w:pPr>
            <w:r>
              <w:rPr>
                <w:rFonts w:ascii="宋体" w:hAnsi="宋体" w:cs="宋体"/>
                <w:color w:val="000000"/>
                <w:kern w:val="0"/>
                <w:sz w:val="20"/>
                <w:szCs w:val="20"/>
              </w:rPr>
              <w:t>部门：吉首大学</w:t>
            </w:r>
          </w:p>
        </w:tc>
        <w:tc>
          <w:tcPr>
            <w:tcW w:w="1224" w:type="dxa"/>
            <w:tcBorders>
              <w:top w:val="nil"/>
              <w:left w:val="nil"/>
              <w:bottom w:val="nil"/>
              <w:right w:val="nil"/>
              <w:tl2br w:val="nil"/>
              <w:tr2bl w:val="nil"/>
            </w:tcBorders>
            <w:noWrap/>
            <w:vAlign w:val="bottom"/>
          </w:tcPr>
          <w:p w:rsidR="00B87C8A" w:rsidRDefault="00B87C8A">
            <w:pPr>
              <w:widowControl/>
              <w:ind w:firstLine="0"/>
              <w:jc w:val="left"/>
              <w:rPr>
                <w:rFonts w:ascii="Arial" w:hAnsi="Arial" w:cs="Arial" w:hint="default"/>
                <w:color w:val="000000"/>
                <w:sz w:val="20"/>
                <w:szCs w:val="20"/>
              </w:rPr>
            </w:pPr>
          </w:p>
        </w:tc>
        <w:tc>
          <w:tcPr>
            <w:tcW w:w="1176" w:type="dxa"/>
            <w:tcBorders>
              <w:top w:val="nil"/>
              <w:left w:val="nil"/>
              <w:bottom w:val="nil"/>
              <w:right w:val="nil"/>
              <w:tl2br w:val="nil"/>
              <w:tr2bl w:val="nil"/>
            </w:tcBorders>
            <w:noWrap/>
            <w:vAlign w:val="bottom"/>
          </w:tcPr>
          <w:p w:rsidR="00B87C8A" w:rsidRDefault="00B87C8A">
            <w:pPr>
              <w:widowControl/>
              <w:ind w:firstLine="0"/>
              <w:jc w:val="left"/>
              <w:rPr>
                <w:rFonts w:ascii="Arial" w:hAnsi="Arial" w:cs="Arial" w:hint="default"/>
                <w:color w:val="000000"/>
                <w:sz w:val="20"/>
                <w:szCs w:val="20"/>
              </w:rPr>
            </w:pPr>
          </w:p>
        </w:tc>
        <w:tc>
          <w:tcPr>
            <w:tcW w:w="2328" w:type="dxa"/>
            <w:tcBorders>
              <w:top w:val="nil"/>
              <w:left w:val="nil"/>
              <w:bottom w:val="nil"/>
              <w:right w:val="nil"/>
              <w:tl2br w:val="nil"/>
              <w:tr2bl w:val="nil"/>
            </w:tcBorders>
            <w:noWrap/>
            <w:vAlign w:val="bottom"/>
          </w:tcPr>
          <w:p w:rsidR="00B87C8A" w:rsidRDefault="00B87C8A">
            <w:pPr>
              <w:widowControl/>
              <w:ind w:firstLine="0"/>
              <w:jc w:val="left"/>
              <w:rPr>
                <w:rFonts w:ascii="Arial" w:hAnsi="Arial" w:cs="Arial" w:hint="default"/>
                <w:color w:val="000000"/>
                <w:sz w:val="20"/>
                <w:szCs w:val="20"/>
              </w:rPr>
            </w:pPr>
          </w:p>
        </w:tc>
        <w:tc>
          <w:tcPr>
            <w:tcW w:w="1200" w:type="dxa"/>
            <w:tcBorders>
              <w:top w:val="nil"/>
              <w:left w:val="nil"/>
              <w:bottom w:val="nil"/>
              <w:right w:val="nil"/>
              <w:tl2br w:val="nil"/>
              <w:tr2bl w:val="nil"/>
            </w:tcBorders>
            <w:noWrap/>
            <w:vAlign w:val="bottom"/>
          </w:tcPr>
          <w:p w:rsidR="00B87C8A" w:rsidRDefault="00B87C8A">
            <w:pPr>
              <w:widowControl/>
              <w:ind w:firstLine="0"/>
              <w:jc w:val="left"/>
              <w:rPr>
                <w:rFonts w:ascii="Arial" w:hAnsi="Arial" w:cs="Arial" w:hint="default"/>
                <w:color w:val="000000"/>
                <w:sz w:val="20"/>
                <w:szCs w:val="20"/>
              </w:rPr>
            </w:pPr>
          </w:p>
        </w:tc>
        <w:tc>
          <w:tcPr>
            <w:tcW w:w="1272" w:type="dxa"/>
            <w:tcBorders>
              <w:top w:val="nil"/>
              <w:left w:val="nil"/>
              <w:bottom w:val="nil"/>
              <w:right w:val="nil"/>
              <w:tl2br w:val="nil"/>
              <w:tr2bl w:val="nil"/>
            </w:tcBorders>
            <w:noWrap/>
            <w:vAlign w:val="bottom"/>
          </w:tcPr>
          <w:p w:rsidR="00B87C8A" w:rsidRDefault="00B87C8A">
            <w:pPr>
              <w:widowControl/>
              <w:ind w:firstLine="0"/>
              <w:jc w:val="left"/>
              <w:rPr>
                <w:rFonts w:ascii="Arial" w:hAnsi="Arial" w:cs="Arial" w:hint="default"/>
                <w:color w:val="000000"/>
                <w:sz w:val="20"/>
                <w:szCs w:val="20"/>
              </w:rPr>
            </w:pPr>
          </w:p>
        </w:tc>
        <w:tc>
          <w:tcPr>
            <w:tcW w:w="2208" w:type="dxa"/>
            <w:tcBorders>
              <w:top w:val="nil"/>
              <w:left w:val="nil"/>
              <w:bottom w:val="nil"/>
              <w:right w:val="nil"/>
              <w:tl2br w:val="nil"/>
              <w:tr2bl w:val="nil"/>
            </w:tcBorders>
            <w:noWrap/>
            <w:vAlign w:val="bottom"/>
          </w:tcPr>
          <w:p w:rsidR="00B87C8A" w:rsidRDefault="00B87C8A">
            <w:pPr>
              <w:widowControl/>
              <w:ind w:firstLine="0"/>
              <w:jc w:val="left"/>
              <w:rPr>
                <w:rFonts w:ascii="Arial" w:hAnsi="Arial" w:cs="Arial" w:hint="default"/>
                <w:color w:val="000000"/>
                <w:sz w:val="20"/>
                <w:szCs w:val="20"/>
              </w:rPr>
            </w:pPr>
          </w:p>
        </w:tc>
        <w:tc>
          <w:tcPr>
            <w:tcW w:w="1920" w:type="dxa"/>
            <w:tcBorders>
              <w:top w:val="nil"/>
              <w:left w:val="nil"/>
              <w:bottom w:val="nil"/>
              <w:right w:val="nil"/>
              <w:tl2br w:val="nil"/>
              <w:tr2bl w:val="nil"/>
            </w:tcBorders>
            <w:noWrap/>
            <w:vAlign w:val="bottom"/>
          </w:tcPr>
          <w:p w:rsidR="00B87C8A" w:rsidRDefault="002D1C8A">
            <w:pPr>
              <w:widowControl/>
              <w:ind w:firstLine="0"/>
              <w:jc w:val="right"/>
              <w:textAlignment w:val="bottom"/>
              <w:rPr>
                <w:rFonts w:ascii="宋体" w:hAnsi="宋体" w:cs="宋体" w:hint="default"/>
                <w:color w:val="000000"/>
                <w:sz w:val="20"/>
                <w:szCs w:val="20"/>
              </w:rPr>
            </w:pPr>
            <w:r>
              <w:rPr>
                <w:rFonts w:ascii="宋体" w:hAnsi="宋体" w:cs="宋体"/>
                <w:color w:val="000000"/>
                <w:kern w:val="0"/>
                <w:sz w:val="20"/>
                <w:szCs w:val="20"/>
              </w:rPr>
              <w:t>金额单位：万元</w:t>
            </w:r>
          </w:p>
        </w:tc>
      </w:tr>
      <w:tr w:rsidR="00B87C8A">
        <w:trPr>
          <w:trHeight w:val="308"/>
        </w:trPr>
        <w:tc>
          <w:tcPr>
            <w:tcW w:w="5116" w:type="dxa"/>
            <w:gridSpan w:val="3"/>
            <w:tcBorders>
              <w:top w:val="single" w:sz="4" w:space="0" w:color="000000"/>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人员经费</w:t>
            </w:r>
          </w:p>
        </w:tc>
        <w:tc>
          <w:tcPr>
            <w:tcW w:w="10104" w:type="dxa"/>
            <w:gridSpan w:val="6"/>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widowControl/>
              <w:tabs>
                <w:tab w:val="left" w:pos="10116"/>
              </w:tabs>
              <w:ind w:firstLine="0"/>
              <w:jc w:val="center"/>
              <w:textAlignment w:val="center"/>
              <w:rPr>
                <w:rFonts w:ascii="宋体" w:hAnsi="宋体" w:cs="宋体" w:hint="default"/>
                <w:color w:val="000000"/>
                <w:sz w:val="22"/>
              </w:rPr>
            </w:pPr>
            <w:r>
              <w:rPr>
                <w:rFonts w:ascii="宋体" w:hAnsi="宋体" w:cs="宋体"/>
                <w:color w:val="000000"/>
                <w:kern w:val="0"/>
                <w:sz w:val="22"/>
              </w:rPr>
              <w:t>公用经费</w:t>
            </w:r>
          </w:p>
        </w:tc>
      </w:tr>
      <w:tr w:rsidR="00B87C8A">
        <w:trPr>
          <w:trHeight w:val="308"/>
        </w:trPr>
        <w:tc>
          <w:tcPr>
            <w:tcW w:w="1204" w:type="dxa"/>
            <w:vMerge w:val="restart"/>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经济分类科目编码</w:t>
            </w:r>
          </w:p>
        </w:tc>
        <w:tc>
          <w:tcPr>
            <w:tcW w:w="2688"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科目名称</w:t>
            </w:r>
          </w:p>
        </w:tc>
        <w:tc>
          <w:tcPr>
            <w:tcW w:w="1224"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决算数</w:t>
            </w:r>
          </w:p>
        </w:tc>
        <w:tc>
          <w:tcPr>
            <w:tcW w:w="1176"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经济分类科目编码</w:t>
            </w:r>
          </w:p>
        </w:tc>
        <w:tc>
          <w:tcPr>
            <w:tcW w:w="2328"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科目名称</w:t>
            </w:r>
          </w:p>
        </w:tc>
        <w:tc>
          <w:tcPr>
            <w:tcW w:w="1200"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决算数</w:t>
            </w:r>
          </w:p>
        </w:tc>
        <w:tc>
          <w:tcPr>
            <w:tcW w:w="1272"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经济分类科目编码</w:t>
            </w:r>
          </w:p>
        </w:tc>
        <w:tc>
          <w:tcPr>
            <w:tcW w:w="2208"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科目名称</w:t>
            </w:r>
          </w:p>
        </w:tc>
        <w:tc>
          <w:tcPr>
            <w:tcW w:w="1920"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决算数</w:t>
            </w:r>
          </w:p>
        </w:tc>
      </w:tr>
      <w:tr w:rsidR="00B87C8A">
        <w:trPr>
          <w:trHeight w:val="308"/>
        </w:trPr>
        <w:tc>
          <w:tcPr>
            <w:tcW w:w="1204" w:type="dxa"/>
            <w:vMerge/>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2688"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1224"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1176"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2328"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120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1272"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2208"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192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r>
      <w:tr w:rsidR="00B87C8A">
        <w:trPr>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301</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工资福利支出</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23,434.48</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302</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商品和服务支出</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1,492.24</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307</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债务利息及费用支出</w:t>
            </w:r>
          </w:p>
        </w:tc>
        <w:tc>
          <w:tcPr>
            <w:tcW w:w="19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r>
      <w:tr w:rsidR="00B87C8A">
        <w:trPr>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30101</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基本工资</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5,097.94</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30201</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办公费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154.54</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30701</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国内债务付息</w:t>
            </w:r>
          </w:p>
        </w:tc>
        <w:tc>
          <w:tcPr>
            <w:tcW w:w="19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r>
      <w:tr w:rsidR="00B87C8A">
        <w:trPr>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30102</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津贴补贴</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636.41</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30202</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印刷费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82.11</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30702</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国外债务付息</w:t>
            </w:r>
          </w:p>
        </w:tc>
        <w:tc>
          <w:tcPr>
            <w:tcW w:w="19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r>
      <w:tr w:rsidR="00B87C8A">
        <w:trPr>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30103</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奖金</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left"/>
              <w:rPr>
                <w:rFonts w:ascii="宋体" w:hAnsi="宋体" w:cs="宋体" w:hint="default"/>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30203</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咨询费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left"/>
              <w:rPr>
                <w:rFonts w:ascii="宋体" w:hAnsi="宋体" w:cs="宋体" w:hint="default"/>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310</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资本性支出</w:t>
            </w:r>
          </w:p>
        </w:tc>
        <w:tc>
          <w:tcPr>
            <w:tcW w:w="19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r>
      <w:tr w:rsidR="00B87C8A">
        <w:trPr>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30106</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伙食补助费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left"/>
              <w:rPr>
                <w:rFonts w:ascii="宋体" w:hAnsi="宋体" w:cs="宋体" w:hint="default"/>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30204</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手续费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left"/>
              <w:rPr>
                <w:rFonts w:ascii="宋体" w:hAnsi="宋体" w:cs="宋体" w:hint="default"/>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31001</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房屋建筑物购建</w:t>
            </w:r>
          </w:p>
        </w:tc>
        <w:tc>
          <w:tcPr>
            <w:tcW w:w="19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r>
      <w:tr w:rsidR="00B87C8A">
        <w:trPr>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30107</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绩效工资</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11,813.19</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30205</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水费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left"/>
              <w:rPr>
                <w:rFonts w:ascii="宋体" w:hAnsi="宋体" w:cs="宋体" w:hint="default"/>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31002</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办公设备购置</w:t>
            </w:r>
          </w:p>
        </w:tc>
        <w:tc>
          <w:tcPr>
            <w:tcW w:w="19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r>
      <w:tr w:rsidR="00B87C8A">
        <w:trPr>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30108</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机关事业单位基本养老保险缴费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3,155.00</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30206</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电费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left"/>
              <w:rPr>
                <w:rFonts w:ascii="宋体" w:hAnsi="宋体" w:cs="宋体" w:hint="default"/>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31003</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专用设备购置</w:t>
            </w:r>
          </w:p>
        </w:tc>
        <w:tc>
          <w:tcPr>
            <w:tcW w:w="19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r>
      <w:tr w:rsidR="00B87C8A">
        <w:trPr>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30109</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职业年金缴费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left"/>
              <w:rPr>
                <w:rFonts w:ascii="宋体" w:hAnsi="宋体" w:cs="宋体" w:hint="default"/>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30207</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邮电费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15.93</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31005</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基础设施建设</w:t>
            </w:r>
          </w:p>
        </w:tc>
        <w:tc>
          <w:tcPr>
            <w:tcW w:w="19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r>
      <w:tr w:rsidR="00B87C8A">
        <w:trPr>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30110</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职工基本医疗保险缴费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654.95</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30208</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取暖费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left"/>
              <w:rPr>
                <w:rFonts w:ascii="宋体" w:hAnsi="宋体" w:cs="宋体" w:hint="default"/>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31006</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大型修缮</w:t>
            </w:r>
          </w:p>
        </w:tc>
        <w:tc>
          <w:tcPr>
            <w:tcW w:w="19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r>
      <w:tr w:rsidR="00B87C8A">
        <w:trPr>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30111</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公务员医疗补助缴费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left"/>
              <w:rPr>
                <w:rFonts w:ascii="宋体" w:hAnsi="宋体" w:cs="宋体" w:hint="default"/>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30209</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物业管理费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755.98</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31007</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信息网络及软件购置更新</w:t>
            </w:r>
          </w:p>
        </w:tc>
        <w:tc>
          <w:tcPr>
            <w:tcW w:w="19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r>
      <w:tr w:rsidR="00B87C8A">
        <w:trPr>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30112</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其他社会保障缴费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243.34</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30211</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差旅费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100.00</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31008</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物资储备</w:t>
            </w:r>
          </w:p>
        </w:tc>
        <w:tc>
          <w:tcPr>
            <w:tcW w:w="19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r>
      <w:tr w:rsidR="00B87C8A">
        <w:trPr>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30113</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住房公积金</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1,401.52</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30212</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因公出国（境）费用</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left"/>
              <w:rPr>
                <w:rFonts w:ascii="宋体" w:hAnsi="宋体" w:cs="宋体" w:hint="default"/>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31009</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土地补偿</w:t>
            </w:r>
          </w:p>
        </w:tc>
        <w:tc>
          <w:tcPr>
            <w:tcW w:w="19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r>
      <w:tr w:rsidR="00B87C8A">
        <w:trPr>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30114</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医疗费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left"/>
              <w:rPr>
                <w:rFonts w:ascii="宋体" w:hAnsi="宋体" w:cs="宋体" w:hint="default"/>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30213</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维修（护）费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left"/>
              <w:rPr>
                <w:rFonts w:ascii="宋体" w:hAnsi="宋体" w:cs="宋体" w:hint="default"/>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31010</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安置补助</w:t>
            </w:r>
          </w:p>
        </w:tc>
        <w:tc>
          <w:tcPr>
            <w:tcW w:w="19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r>
      <w:tr w:rsidR="00B87C8A">
        <w:trPr>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30199</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其他工资福利支出</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432.13</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30214</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租赁费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left"/>
              <w:rPr>
                <w:rFonts w:ascii="宋体" w:hAnsi="宋体" w:cs="宋体" w:hint="default"/>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31011</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地上附着物和青苗补偿</w:t>
            </w:r>
          </w:p>
        </w:tc>
        <w:tc>
          <w:tcPr>
            <w:tcW w:w="19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r>
      <w:tr w:rsidR="00B87C8A">
        <w:trPr>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303</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对个人和家庭的补助</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774.74</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30215</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会议费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left"/>
              <w:rPr>
                <w:rFonts w:ascii="宋体" w:hAnsi="宋体" w:cs="宋体" w:hint="default"/>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31012</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拆迁补偿</w:t>
            </w:r>
          </w:p>
        </w:tc>
        <w:tc>
          <w:tcPr>
            <w:tcW w:w="19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r>
      <w:tr w:rsidR="00B87C8A">
        <w:trPr>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30301</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离休费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17.77</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30216</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培训费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left"/>
              <w:rPr>
                <w:rFonts w:ascii="宋体" w:hAnsi="宋体" w:cs="宋体" w:hint="default"/>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31013</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公务用车购置</w:t>
            </w:r>
          </w:p>
        </w:tc>
        <w:tc>
          <w:tcPr>
            <w:tcW w:w="19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r>
      <w:tr w:rsidR="00B87C8A">
        <w:trPr>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30302</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退休费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left"/>
              <w:rPr>
                <w:rFonts w:ascii="宋体" w:hAnsi="宋体" w:cs="宋体" w:hint="default"/>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30217</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公务接待费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18.00</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31019</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其他交通工具购置</w:t>
            </w:r>
          </w:p>
        </w:tc>
        <w:tc>
          <w:tcPr>
            <w:tcW w:w="19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r>
      <w:tr w:rsidR="00B87C8A">
        <w:trPr>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30303</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退职（役）费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left"/>
              <w:rPr>
                <w:rFonts w:ascii="宋体" w:hAnsi="宋体" w:cs="宋体" w:hint="default"/>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30218</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专用材料费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200.00</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31021</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文物和陈列品购置</w:t>
            </w:r>
          </w:p>
        </w:tc>
        <w:tc>
          <w:tcPr>
            <w:tcW w:w="19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r>
      <w:tr w:rsidR="00B87C8A">
        <w:trPr>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30304</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抚恤金</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5.32</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30224</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被装购置费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left"/>
              <w:rPr>
                <w:rFonts w:ascii="宋体" w:hAnsi="宋体" w:cs="宋体" w:hint="default"/>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31022</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无形资产购置</w:t>
            </w:r>
          </w:p>
        </w:tc>
        <w:tc>
          <w:tcPr>
            <w:tcW w:w="19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r>
      <w:tr w:rsidR="00B87C8A">
        <w:trPr>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30305</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生活补助</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538.41</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30225</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专用燃料费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left"/>
              <w:rPr>
                <w:rFonts w:ascii="宋体" w:hAnsi="宋体" w:cs="宋体" w:hint="default"/>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31099</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其他资本性支出</w:t>
            </w:r>
          </w:p>
        </w:tc>
        <w:tc>
          <w:tcPr>
            <w:tcW w:w="19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r>
      <w:tr w:rsidR="00B87C8A">
        <w:trPr>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30306</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救济费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left"/>
              <w:rPr>
                <w:rFonts w:ascii="宋体" w:hAnsi="宋体" w:cs="宋体" w:hint="default"/>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30226</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劳务费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49.29</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399</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其他支出</w:t>
            </w:r>
          </w:p>
        </w:tc>
        <w:tc>
          <w:tcPr>
            <w:tcW w:w="19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r>
      <w:tr w:rsidR="00B87C8A">
        <w:trPr>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30307</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医疗费补助</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left"/>
              <w:rPr>
                <w:rFonts w:ascii="宋体" w:hAnsi="宋体" w:cs="宋体" w:hint="default"/>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30227</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委托业务费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107.50</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39906</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赠与</w:t>
            </w:r>
          </w:p>
        </w:tc>
        <w:tc>
          <w:tcPr>
            <w:tcW w:w="19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r>
      <w:tr w:rsidR="00B87C8A">
        <w:trPr>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30308</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助学金</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left"/>
              <w:rPr>
                <w:rFonts w:ascii="宋体" w:hAnsi="宋体" w:cs="宋体" w:hint="default"/>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30228</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工会经费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left"/>
              <w:rPr>
                <w:rFonts w:ascii="宋体" w:hAnsi="宋体" w:cs="宋体" w:hint="default"/>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39907</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国家赔偿费用支出</w:t>
            </w:r>
          </w:p>
        </w:tc>
        <w:tc>
          <w:tcPr>
            <w:tcW w:w="19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r>
      <w:tr w:rsidR="00B87C8A">
        <w:trPr>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30309</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奖励金</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left"/>
              <w:rPr>
                <w:rFonts w:ascii="宋体" w:hAnsi="宋体" w:cs="宋体" w:hint="default"/>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30229</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福利费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left"/>
              <w:rPr>
                <w:rFonts w:ascii="宋体" w:hAnsi="宋体" w:cs="宋体" w:hint="default"/>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39908</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对民间非营利组织</w:t>
            </w:r>
            <w:r>
              <w:rPr>
                <w:rFonts w:ascii="宋体" w:hAnsi="宋体" w:cs="宋体"/>
                <w:color w:val="000000"/>
                <w:kern w:val="0"/>
                <w:sz w:val="22"/>
              </w:rPr>
              <w:lastRenderedPageBreak/>
              <w:t>和群众性自治组织补贴</w:t>
            </w:r>
          </w:p>
        </w:tc>
        <w:tc>
          <w:tcPr>
            <w:tcW w:w="19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r>
      <w:tr w:rsidR="00B87C8A">
        <w:trPr>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lastRenderedPageBreak/>
              <w:t>30310</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个人农业生产补贴</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left"/>
              <w:rPr>
                <w:rFonts w:ascii="宋体" w:hAnsi="宋体" w:cs="宋体" w:hint="default"/>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30231</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公务用车运行维护费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left"/>
              <w:rPr>
                <w:rFonts w:ascii="宋体" w:hAnsi="宋体" w:cs="宋体" w:hint="default"/>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39999</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其他支出</w:t>
            </w:r>
          </w:p>
        </w:tc>
        <w:tc>
          <w:tcPr>
            <w:tcW w:w="19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r>
      <w:tr w:rsidR="00B87C8A">
        <w:trPr>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30311</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代缴社会保险费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left"/>
              <w:rPr>
                <w:rFonts w:ascii="宋体" w:hAnsi="宋体" w:cs="宋体" w:hint="default"/>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30239</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其他交通费用</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2.63</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19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r>
      <w:tr w:rsidR="00B87C8A">
        <w:trPr>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30399</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其他对个人和家庭的补助</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213.24</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30240</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税金及附加费用</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left"/>
              <w:rPr>
                <w:rFonts w:ascii="宋体" w:hAnsi="宋体" w:cs="宋体" w:hint="default"/>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19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r>
      <w:tr w:rsidR="00B87C8A">
        <w:trPr>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B87C8A">
            <w:pPr>
              <w:widowControl/>
              <w:ind w:firstLine="0"/>
              <w:jc w:val="left"/>
              <w:rPr>
                <w:rFonts w:ascii="宋体" w:hAnsi="宋体" w:cs="宋体" w:hint="default"/>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30299</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 xml:space="preserve">  其他商品和服务支出</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6.26</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192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r>
      <w:tr w:rsidR="00B87C8A">
        <w:trPr>
          <w:trHeight w:val="308"/>
        </w:trPr>
        <w:tc>
          <w:tcPr>
            <w:tcW w:w="3892" w:type="dxa"/>
            <w:gridSpan w:val="2"/>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人员经费合计</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24,209.22</w:t>
            </w:r>
          </w:p>
        </w:tc>
        <w:tc>
          <w:tcPr>
            <w:tcW w:w="8184" w:type="dxa"/>
            <w:gridSpan w:val="5"/>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公用经费合计</w:t>
            </w:r>
          </w:p>
        </w:tc>
        <w:tc>
          <w:tcPr>
            <w:tcW w:w="19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1,492.24</w:t>
            </w:r>
          </w:p>
        </w:tc>
      </w:tr>
      <w:tr w:rsidR="00B87C8A">
        <w:trPr>
          <w:trHeight w:val="308"/>
        </w:trPr>
        <w:tc>
          <w:tcPr>
            <w:tcW w:w="15220" w:type="dxa"/>
            <w:gridSpan w:val="9"/>
            <w:tcBorders>
              <w:top w:val="nil"/>
              <w:left w:val="nil"/>
              <w:bottom w:val="nil"/>
              <w:right w:val="nil"/>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注：本表反映部门本年度一般公共预算财政拨款基本支出明细情况。</w:t>
            </w:r>
          </w:p>
        </w:tc>
      </w:tr>
    </w:tbl>
    <w:p w:rsidR="00B87C8A" w:rsidRDefault="00B87C8A">
      <w:pPr>
        <w:widowControl/>
        <w:spacing w:line="600" w:lineRule="exact"/>
        <w:ind w:firstLine="0"/>
        <w:jc w:val="center"/>
        <w:rPr>
          <w:rFonts w:ascii="黑体" w:eastAsia="黑体" w:hAnsi="Times New Roman" w:cs="黑体" w:hint="default"/>
          <w:sz w:val="32"/>
          <w:szCs w:val="32"/>
        </w:rPr>
        <w:sectPr w:rsidR="00B87C8A">
          <w:pgSz w:w="16838" w:h="11906" w:orient="landscape"/>
          <w:pgMar w:top="720" w:right="873" w:bottom="720" w:left="720" w:header="720" w:footer="720" w:gutter="0"/>
          <w:cols w:space="720"/>
        </w:sectPr>
      </w:pPr>
    </w:p>
    <w:tbl>
      <w:tblPr>
        <w:tblW w:w="15244" w:type="dxa"/>
        <w:tblInd w:w="96" w:type="dxa"/>
        <w:tblLayout w:type="fixed"/>
        <w:tblLook w:val="04A0"/>
      </w:tblPr>
      <w:tblGrid>
        <w:gridCol w:w="988"/>
        <w:gridCol w:w="1176"/>
        <w:gridCol w:w="792"/>
        <w:gridCol w:w="1608"/>
        <w:gridCol w:w="1632"/>
        <w:gridCol w:w="1512"/>
        <w:gridCol w:w="776"/>
        <w:gridCol w:w="1296"/>
        <w:gridCol w:w="832"/>
        <w:gridCol w:w="1704"/>
        <w:gridCol w:w="1608"/>
        <w:gridCol w:w="1320"/>
      </w:tblGrid>
      <w:tr w:rsidR="00B87C8A">
        <w:trPr>
          <w:trHeight w:val="384"/>
        </w:trPr>
        <w:tc>
          <w:tcPr>
            <w:tcW w:w="15244" w:type="dxa"/>
            <w:gridSpan w:val="12"/>
            <w:tcBorders>
              <w:top w:val="nil"/>
              <w:left w:val="nil"/>
              <w:bottom w:val="nil"/>
              <w:right w:val="nil"/>
              <w:tl2br w:val="nil"/>
              <w:tr2bl w:val="nil"/>
            </w:tcBorders>
            <w:noWrap/>
            <w:vAlign w:val="center"/>
          </w:tcPr>
          <w:p w:rsidR="00B87C8A" w:rsidRDefault="002D1C8A">
            <w:pPr>
              <w:widowControl/>
              <w:ind w:firstLine="0"/>
              <w:jc w:val="center"/>
              <w:textAlignment w:val="bottom"/>
              <w:rPr>
                <w:rFonts w:ascii="宋体" w:hAnsi="宋体" w:cs="宋体" w:hint="default"/>
                <w:color w:val="000000"/>
                <w:sz w:val="30"/>
                <w:szCs w:val="30"/>
              </w:rPr>
            </w:pPr>
            <w:r>
              <w:rPr>
                <w:rFonts w:ascii="宋体" w:hAnsi="宋体" w:cs="宋体"/>
                <w:color w:val="000000"/>
                <w:kern w:val="0"/>
                <w:sz w:val="30"/>
                <w:szCs w:val="30"/>
              </w:rPr>
              <w:lastRenderedPageBreak/>
              <w:t>七、一般公共预算财政拨款“三公"经费支出决算表</w:t>
            </w:r>
          </w:p>
        </w:tc>
      </w:tr>
      <w:tr w:rsidR="00B87C8A">
        <w:trPr>
          <w:trHeight w:val="264"/>
        </w:trPr>
        <w:tc>
          <w:tcPr>
            <w:tcW w:w="988" w:type="dxa"/>
            <w:tcBorders>
              <w:top w:val="nil"/>
              <w:left w:val="nil"/>
              <w:bottom w:val="nil"/>
              <w:right w:val="nil"/>
              <w:tl2br w:val="nil"/>
              <w:tr2bl w:val="nil"/>
            </w:tcBorders>
            <w:noWrap/>
            <w:vAlign w:val="center"/>
          </w:tcPr>
          <w:p w:rsidR="00B87C8A" w:rsidRDefault="00B87C8A">
            <w:pPr>
              <w:widowControl/>
              <w:ind w:firstLine="0"/>
              <w:jc w:val="center"/>
              <w:rPr>
                <w:rFonts w:ascii="Arial" w:hAnsi="Arial" w:cs="Arial" w:hint="default"/>
                <w:color w:val="000000"/>
                <w:sz w:val="20"/>
                <w:szCs w:val="20"/>
              </w:rPr>
            </w:pPr>
          </w:p>
        </w:tc>
        <w:tc>
          <w:tcPr>
            <w:tcW w:w="1176" w:type="dxa"/>
            <w:tcBorders>
              <w:top w:val="nil"/>
              <w:left w:val="nil"/>
              <w:bottom w:val="nil"/>
              <w:right w:val="nil"/>
              <w:tl2br w:val="nil"/>
              <w:tr2bl w:val="nil"/>
            </w:tcBorders>
            <w:noWrap/>
            <w:vAlign w:val="center"/>
          </w:tcPr>
          <w:p w:rsidR="00B87C8A" w:rsidRDefault="00B87C8A">
            <w:pPr>
              <w:widowControl/>
              <w:ind w:firstLine="0"/>
              <w:jc w:val="center"/>
              <w:rPr>
                <w:rFonts w:ascii="Arial" w:hAnsi="Arial" w:cs="Arial" w:hint="default"/>
                <w:color w:val="000000"/>
                <w:sz w:val="20"/>
                <w:szCs w:val="20"/>
              </w:rPr>
            </w:pPr>
          </w:p>
        </w:tc>
        <w:tc>
          <w:tcPr>
            <w:tcW w:w="792" w:type="dxa"/>
            <w:tcBorders>
              <w:top w:val="nil"/>
              <w:left w:val="nil"/>
              <w:bottom w:val="nil"/>
              <w:right w:val="nil"/>
              <w:tl2br w:val="nil"/>
              <w:tr2bl w:val="nil"/>
            </w:tcBorders>
            <w:noWrap/>
            <w:vAlign w:val="center"/>
          </w:tcPr>
          <w:p w:rsidR="00B87C8A" w:rsidRDefault="00B87C8A">
            <w:pPr>
              <w:widowControl/>
              <w:ind w:firstLine="0"/>
              <w:jc w:val="center"/>
              <w:rPr>
                <w:rFonts w:ascii="Arial" w:hAnsi="Arial" w:cs="Arial" w:hint="default"/>
                <w:color w:val="000000"/>
                <w:sz w:val="20"/>
                <w:szCs w:val="20"/>
              </w:rPr>
            </w:pPr>
          </w:p>
        </w:tc>
        <w:tc>
          <w:tcPr>
            <w:tcW w:w="1608" w:type="dxa"/>
            <w:tcBorders>
              <w:top w:val="nil"/>
              <w:left w:val="nil"/>
              <w:bottom w:val="nil"/>
              <w:right w:val="nil"/>
              <w:tl2br w:val="nil"/>
              <w:tr2bl w:val="nil"/>
            </w:tcBorders>
            <w:noWrap/>
            <w:vAlign w:val="center"/>
          </w:tcPr>
          <w:p w:rsidR="00B87C8A" w:rsidRDefault="00B87C8A">
            <w:pPr>
              <w:widowControl/>
              <w:ind w:firstLine="0"/>
              <w:jc w:val="center"/>
              <w:rPr>
                <w:rFonts w:ascii="Arial" w:hAnsi="Arial" w:cs="Arial" w:hint="default"/>
                <w:color w:val="000000"/>
                <w:sz w:val="20"/>
                <w:szCs w:val="20"/>
              </w:rPr>
            </w:pPr>
          </w:p>
        </w:tc>
        <w:tc>
          <w:tcPr>
            <w:tcW w:w="1632" w:type="dxa"/>
            <w:tcBorders>
              <w:top w:val="nil"/>
              <w:left w:val="nil"/>
              <w:bottom w:val="nil"/>
              <w:right w:val="nil"/>
              <w:tl2br w:val="nil"/>
              <w:tr2bl w:val="nil"/>
            </w:tcBorders>
            <w:noWrap/>
            <w:vAlign w:val="center"/>
          </w:tcPr>
          <w:p w:rsidR="00B87C8A" w:rsidRDefault="00B87C8A">
            <w:pPr>
              <w:widowControl/>
              <w:ind w:firstLine="0"/>
              <w:jc w:val="center"/>
              <w:rPr>
                <w:rFonts w:ascii="Arial" w:hAnsi="Arial" w:cs="Arial" w:hint="default"/>
                <w:color w:val="000000"/>
                <w:sz w:val="20"/>
                <w:szCs w:val="20"/>
              </w:rPr>
            </w:pPr>
          </w:p>
        </w:tc>
        <w:tc>
          <w:tcPr>
            <w:tcW w:w="1512" w:type="dxa"/>
            <w:tcBorders>
              <w:top w:val="nil"/>
              <w:left w:val="nil"/>
              <w:bottom w:val="nil"/>
              <w:right w:val="nil"/>
              <w:tl2br w:val="nil"/>
              <w:tr2bl w:val="nil"/>
            </w:tcBorders>
            <w:noWrap/>
            <w:vAlign w:val="center"/>
          </w:tcPr>
          <w:p w:rsidR="00B87C8A" w:rsidRDefault="00B87C8A">
            <w:pPr>
              <w:widowControl/>
              <w:ind w:firstLine="0"/>
              <w:jc w:val="center"/>
              <w:rPr>
                <w:rFonts w:ascii="Arial" w:hAnsi="Arial" w:cs="Arial" w:hint="default"/>
                <w:color w:val="000000"/>
                <w:sz w:val="20"/>
                <w:szCs w:val="20"/>
              </w:rPr>
            </w:pPr>
          </w:p>
        </w:tc>
        <w:tc>
          <w:tcPr>
            <w:tcW w:w="776" w:type="dxa"/>
            <w:tcBorders>
              <w:top w:val="nil"/>
              <w:left w:val="nil"/>
              <w:bottom w:val="nil"/>
              <w:right w:val="nil"/>
              <w:tl2br w:val="nil"/>
              <w:tr2bl w:val="nil"/>
            </w:tcBorders>
            <w:noWrap/>
            <w:vAlign w:val="center"/>
          </w:tcPr>
          <w:p w:rsidR="00B87C8A" w:rsidRDefault="00B87C8A">
            <w:pPr>
              <w:widowControl/>
              <w:ind w:firstLine="0"/>
              <w:jc w:val="center"/>
              <w:rPr>
                <w:rFonts w:ascii="Arial" w:hAnsi="Arial" w:cs="Arial" w:hint="default"/>
                <w:color w:val="000000"/>
                <w:sz w:val="20"/>
                <w:szCs w:val="20"/>
              </w:rPr>
            </w:pPr>
          </w:p>
        </w:tc>
        <w:tc>
          <w:tcPr>
            <w:tcW w:w="1296" w:type="dxa"/>
            <w:tcBorders>
              <w:top w:val="nil"/>
              <w:left w:val="nil"/>
              <w:bottom w:val="nil"/>
              <w:right w:val="nil"/>
              <w:tl2br w:val="nil"/>
              <w:tr2bl w:val="nil"/>
            </w:tcBorders>
            <w:noWrap/>
            <w:vAlign w:val="center"/>
          </w:tcPr>
          <w:p w:rsidR="00B87C8A" w:rsidRDefault="00B87C8A">
            <w:pPr>
              <w:widowControl/>
              <w:ind w:firstLine="0"/>
              <w:jc w:val="center"/>
              <w:rPr>
                <w:rFonts w:ascii="Arial" w:hAnsi="Arial" w:cs="Arial" w:hint="default"/>
                <w:color w:val="000000"/>
                <w:sz w:val="20"/>
                <w:szCs w:val="20"/>
              </w:rPr>
            </w:pPr>
          </w:p>
        </w:tc>
        <w:tc>
          <w:tcPr>
            <w:tcW w:w="832" w:type="dxa"/>
            <w:tcBorders>
              <w:top w:val="nil"/>
              <w:left w:val="nil"/>
              <w:bottom w:val="nil"/>
              <w:right w:val="nil"/>
              <w:tl2br w:val="nil"/>
              <w:tr2bl w:val="nil"/>
            </w:tcBorders>
            <w:noWrap/>
            <w:vAlign w:val="center"/>
          </w:tcPr>
          <w:p w:rsidR="00B87C8A" w:rsidRDefault="00B87C8A">
            <w:pPr>
              <w:widowControl/>
              <w:ind w:firstLine="0"/>
              <w:jc w:val="center"/>
              <w:rPr>
                <w:rFonts w:ascii="Arial" w:hAnsi="Arial" w:cs="Arial" w:hint="default"/>
                <w:color w:val="000000"/>
                <w:sz w:val="20"/>
                <w:szCs w:val="20"/>
              </w:rPr>
            </w:pPr>
          </w:p>
        </w:tc>
        <w:tc>
          <w:tcPr>
            <w:tcW w:w="1704" w:type="dxa"/>
            <w:tcBorders>
              <w:top w:val="nil"/>
              <w:left w:val="nil"/>
              <w:bottom w:val="nil"/>
              <w:right w:val="nil"/>
              <w:tl2br w:val="nil"/>
              <w:tr2bl w:val="nil"/>
            </w:tcBorders>
            <w:noWrap/>
            <w:vAlign w:val="center"/>
          </w:tcPr>
          <w:p w:rsidR="00B87C8A" w:rsidRDefault="00B87C8A">
            <w:pPr>
              <w:widowControl/>
              <w:ind w:firstLine="0"/>
              <w:jc w:val="center"/>
              <w:rPr>
                <w:rFonts w:ascii="Arial" w:hAnsi="Arial" w:cs="Arial" w:hint="default"/>
                <w:color w:val="000000"/>
                <w:sz w:val="20"/>
                <w:szCs w:val="20"/>
              </w:rPr>
            </w:pPr>
          </w:p>
        </w:tc>
        <w:tc>
          <w:tcPr>
            <w:tcW w:w="1608" w:type="dxa"/>
            <w:tcBorders>
              <w:top w:val="nil"/>
              <w:left w:val="nil"/>
              <w:bottom w:val="nil"/>
              <w:right w:val="nil"/>
              <w:tl2br w:val="nil"/>
              <w:tr2bl w:val="nil"/>
            </w:tcBorders>
            <w:noWrap/>
            <w:vAlign w:val="center"/>
          </w:tcPr>
          <w:p w:rsidR="00B87C8A" w:rsidRDefault="00B87C8A">
            <w:pPr>
              <w:widowControl/>
              <w:ind w:firstLine="0"/>
              <w:jc w:val="right"/>
              <w:rPr>
                <w:rFonts w:ascii="Arial" w:hAnsi="Arial" w:cs="Arial" w:hint="default"/>
                <w:color w:val="000000"/>
                <w:sz w:val="20"/>
                <w:szCs w:val="20"/>
              </w:rPr>
            </w:pPr>
          </w:p>
        </w:tc>
        <w:tc>
          <w:tcPr>
            <w:tcW w:w="1320" w:type="dxa"/>
            <w:tcBorders>
              <w:top w:val="nil"/>
              <w:left w:val="nil"/>
              <w:bottom w:val="nil"/>
              <w:right w:val="nil"/>
              <w:tl2br w:val="nil"/>
              <w:tr2bl w:val="nil"/>
            </w:tcBorders>
            <w:noWrap/>
            <w:vAlign w:val="center"/>
          </w:tcPr>
          <w:p w:rsidR="00B87C8A" w:rsidRDefault="002D1C8A">
            <w:pPr>
              <w:widowControl/>
              <w:ind w:firstLine="0"/>
              <w:jc w:val="right"/>
              <w:textAlignment w:val="bottom"/>
              <w:rPr>
                <w:rFonts w:ascii="宋体" w:hAnsi="宋体" w:cs="宋体" w:hint="default"/>
                <w:color w:val="000000"/>
                <w:sz w:val="20"/>
                <w:szCs w:val="20"/>
              </w:rPr>
            </w:pPr>
            <w:r>
              <w:rPr>
                <w:rFonts w:ascii="宋体" w:hAnsi="宋体" w:cs="宋体"/>
                <w:color w:val="000000"/>
                <w:kern w:val="0"/>
                <w:sz w:val="20"/>
                <w:szCs w:val="20"/>
              </w:rPr>
              <w:t>公开07表</w:t>
            </w:r>
          </w:p>
        </w:tc>
      </w:tr>
      <w:tr w:rsidR="00B87C8A">
        <w:trPr>
          <w:trHeight w:val="264"/>
        </w:trPr>
        <w:tc>
          <w:tcPr>
            <w:tcW w:w="2164" w:type="dxa"/>
            <w:gridSpan w:val="2"/>
            <w:tcBorders>
              <w:top w:val="nil"/>
              <w:left w:val="nil"/>
              <w:bottom w:val="nil"/>
              <w:right w:val="nil"/>
              <w:tl2br w:val="nil"/>
              <w:tr2bl w:val="nil"/>
            </w:tcBorders>
            <w:noWrap/>
            <w:vAlign w:val="center"/>
          </w:tcPr>
          <w:p w:rsidR="00B87C8A" w:rsidRDefault="002D1C8A">
            <w:pPr>
              <w:widowControl/>
              <w:ind w:firstLine="0"/>
              <w:jc w:val="left"/>
              <w:rPr>
                <w:rFonts w:ascii="Arial" w:hAnsi="Arial" w:cs="Arial" w:hint="default"/>
                <w:color w:val="000000"/>
                <w:sz w:val="20"/>
                <w:szCs w:val="20"/>
              </w:rPr>
            </w:pPr>
            <w:r>
              <w:rPr>
                <w:rFonts w:ascii="宋体" w:hAnsi="宋体" w:cs="宋体"/>
                <w:color w:val="000000"/>
                <w:kern w:val="0"/>
                <w:sz w:val="20"/>
                <w:szCs w:val="20"/>
              </w:rPr>
              <w:t>部门：吉首大学</w:t>
            </w:r>
          </w:p>
        </w:tc>
        <w:tc>
          <w:tcPr>
            <w:tcW w:w="792" w:type="dxa"/>
            <w:tcBorders>
              <w:top w:val="nil"/>
              <w:left w:val="nil"/>
              <w:bottom w:val="nil"/>
              <w:right w:val="nil"/>
              <w:tl2br w:val="nil"/>
              <w:tr2bl w:val="nil"/>
            </w:tcBorders>
            <w:noWrap/>
            <w:vAlign w:val="center"/>
          </w:tcPr>
          <w:p w:rsidR="00B87C8A" w:rsidRDefault="00B87C8A">
            <w:pPr>
              <w:widowControl/>
              <w:ind w:firstLine="0"/>
              <w:jc w:val="center"/>
              <w:rPr>
                <w:rFonts w:ascii="Arial" w:hAnsi="Arial" w:cs="Arial" w:hint="default"/>
                <w:color w:val="000000"/>
                <w:sz w:val="20"/>
                <w:szCs w:val="20"/>
              </w:rPr>
            </w:pPr>
          </w:p>
        </w:tc>
        <w:tc>
          <w:tcPr>
            <w:tcW w:w="1608" w:type="dxa"/>
            <w:tcBorders>
              <w:top w:val="nil"/>
              <w:left w:val="nil"/>
              <w:bottom w:val="nil"/>
              <w:right w:val="nil"/>
              <w:tl2br w:val="nil"/>
              <w:tr2bl w:val="nil"/>
            </w:tcBorders>
            <w:noWrap/>
            <w:vAlign w:val="center"/>
          </w:tcPr>
          <w:p w:rsidR="00B87C8A" w:rsidRDefault="00B87C8A">
            <w:pPr>
              <w:widowControl/>
              <w:ind w:firstLine="0"/>
              <w:jc w:val="center"/>
              <w:rPr>
                <w:rFonts w:ascii="Arial" w:hAnsi="Arial" w:cs="Arial" w:hint="default"/>
                <w:color w:val="000000"/>
                <w:sz w:val="20"/>
                <w:szCs w:val="20"/>
              </w:rPr>
            </w:pPr>
          </w:p>
        </w:tc>
        <w:tc>
          <w:tcPr>
            <w:tcW w:w="1632" w:type="dxa"/>
            <w:tcBorders>
              <w:top w:val="nil"/>
              <w:left w:val="nil"/>
              <w:bottom w:val="nil"/>
              <w:right w:val="nil"/>
              <w:tl2br w:val="nil"/>
              <w:tr2bl w:val="nil"/>
            </w:tcBorders>
            <w:noWrap/>
            <w:vAlign w:val="center"/>
          </w:tcPr>
          <w:p w:rsidR="00B87C8A" w:rsidRDefault="00B87C8A">
            <w:pPr>
              <w:widowControl/>
              <w:ind w:firstLine="0"/>
              <w:jc w:val="center"/>
              <w:rPr>
                <w:rFonts w:ascii="Arial" w:hAnsi="Arial" w:cs="Arial" w:hint="default"/>
                <w:color w:val="000000"/>
                <w:sz w:val="20"/>
                <w:szCs w:val="20"/>
              </w:rPr>
            </w:pPr>
          </w:p>
        </w:tc>
        <w:tc>
          <w:tcPr>
            <w:tcW w:w="1512" w:type="dxa"/>
            <w:tcBorders>
              <w:top w:val="nil"/>
              <w:left w:val="nil"/>
              <w:bottom w:val="nil"/>
              <w:right w:val="nil"/>
              <w:tl2br w:val="nil"/>
              <w:tr2bl w:val="nil"/>
            </w:tcBorders>
            <w:noWrap/>
            <w:vAlign w:val="center"/>
          </w:tcPr>
          <w:p w:rsidR="00B87C8A" w:rsidRDefault="00B87C8A">
            <w:pPr>
              <w:widowControl/>
              <w:ind w:firstLine="0"/>
              <w:jc w:val="center"/>
              <w:rPr>
                <w:rFonts w:ascii="Arial" w:hAnsi="Arial" w:cs="Arial" w:hint="default"/>
                <w:color w:val="000000"/>
                <w:sz w:val="20"/>
                <w:szCs w:val="20"/>
              </w:rPr>
            </w:pPr>
          </w:p>
        </w:tc>
        <w:tc>
          <w:tcPr>
            <w:tcW w:w="776" w:type="dxa"/>
            <w:tcBorders>
              <w:top w:val="nil"/>
              <w:left w:val="nil"/>
              <w:bottom w:val="nil"/>
              <w:right w:val="nil"/>
              <w:tl2br w:val="nil"/>
              <w:tr2bl w:val="nil"/>
            </w:tcBorders>
            <w:noWrap/>
            <w:vAlign w:val="center"/>
          </w:tcPr>
          <w:p w:rsidR="00B87C8A" w:rsidRDefault="00B87C8A">
            <w:pPr>
              <w:widowControl/>
              <w:ind w:firstLine="0"/>
              <w:jc w:val="center"/>
              <w:rPr>
                <w:rFonts w:ascii="Arial" w:hAnsi="Arial" w:cs="Arial" w:hint="default"/>
                <w:color w:val="000000"/>
                <w:sz w:val="20"/>
                <w:szCs w:val="20"/>
              </w:rPr>
            </w:pPr>
          </w:p>
        </w:tc>
        <w:tc>
          <w:tcPr>
            <w:tcW w:w="1296" w:type="dxa"/>
            <w:tcBorders>
              <w:top w:val="nil"/>
              <w:left w:val="nil"/>
              <w:bottom w:val="nil"/>
              <w:right w:val="nil"/>
              <w:tl2br w:val="nil"/>
              <w:tr2bl w:val="nil"/>
            </w:tcBorders>
            <w:noWrap/>
            <w:vAlign w:val="center"/>
          </w:tcPr>
          <w:p w:rsidR="00B87C8A" w:rsidRDefault="00B87C8A">
            <w:pPr>
              <w:widowControl/>
              <w:ind w:firstLine="0"/>
              <w:jc w:val="center"/>
              <w:rPr>
                <w:rFonts w:ascii="Arial" w:hAnsi="Arial" w:cs="Arial" w:hint="default"/>
                <w:color w:val="000000"/>
                <w:sz w:val="20"/>
                <w:szCs w:val="20"/>
              </w:rPr>
            </w:pPr>
          </w:p>
        </w:tc>
        <w:tc>
          <w:tcPr>
            <w:tcW w:w="832" w:type="dxa"/>
            <w:tcBorders>
              <w:top w:val="nil"/>
              <w:left w:val="nil"/>
              <w:bottom w:val="nil"/>
              <w:right w:val="nil"/>
              <w:tl2br w:val="nil"/>
              <w:tr2bl w:val="nil"/>
            </w:tcBorders>
            <w:noWrap/>
            <w:vAlign w:val="center"/>
          </w:tcPr>
          <w:p w:rsidR="00B87C8A" w:rsidRDefault="00B87C8A">
            <w:pPr>
              <w:widowControl/>
              <w:ind w:firstLine="0"/>
              <w:jc w:val="center"/>
              <w:rPr>
                <w:rFonts w:ascii="Arial" w:hAnsi="Arial" w:cs="Arial" w:hint="default"/>
                <w:color w:val="000000"/>
                <w:sz w:val="20"/>
                <w:szCs w:val="20"/>
              </w:rPr>
            </w:pPr>
          </w:p>
        </w:tc>
        <w:tc>
          <w:tcPr>
            <w:tcW w:w="1704" w:type="dxa"/>
            <w:tcBorders>
              <w:top w:val="nil"/>
              <w:left w:val="nil"/>
              <w:bottom w:val="nil"/>
              <w:right w:val="nil"/>
              <w:tl2br w:val="nil"/>
              <w:tr2bl w:val="nil"/>
            </w:tcBorders>
            <w:noWrap/>
            <w:vAlign w:val="center"/>
          </w:tcPr>
          <w:p w:rsidR="00B87C8A" w:rsidRDefault="00B87C8A">
            <w:pPr>
              <w:widowControl/>
              <w:ind w:firstLine="0"/>
              <w:jc w:val="center"/>
              <w:rPr>
                <w:rFonts w:ascii="Arial" w:hAnsi="Arial" w:cs="Arial" w:hint="default"/>
                <w:color w:val="000000"/>
                <w:sz w:val="20"/>
                <w:szCs w:val="20"/>
              </w:rPr>
            </w:pPr>
          </w:p>
        </w:tc>
        <w:tc>
          <w:tcPr>
            <w:tcW w:w="2928" w:type="dxa"/>
            <w:gridSpan w:val="2"/>
            <w:tcBorders>
              <w:top w:val="nil"/>
              <w:left w:val="nil"/>
              <w:bottom w:val="nil"/>
              <w:right w:val="nil"/>
              <w:tl2br w:val="nil"/>
              <w:tr2bl w:val="nil"/>
            </w:tcBorders>
            <w:noWrap/>
            <w:vAlign w:val="center"/>
          </w:tcPr>
          <w:p w:rsidR="00B87C8A" w:rsidRDefault="002D1C8A">
            <w:pPr>
              <w:widowControl/>
              <w:ind w:firstLine="0"/>
              <w:jc w:val="right"/>
              <w:textAlignment w:val="bottom"/>
              <w:rPr>
                <w:rFonts w:ascii="宋体" w:hAnsi="宋体" w:cs="宋体" w:hint="default"/>
                <w:color w:val="000000"/>
                <w:sz w:val="20"/>
                <w:szCs w:val="20"/>
              </w:rPr>
            </w:pPr>
            <w:r>
              <w:rPr>
                <w:rFonts w:ascii="宋体" w:hAnsi="宋体" w:cs="宋体"/>
                <w:color w:val="000000"/>
                <w:kern w:val="0"/>
                <w:sz w:val="20"/>
                <w:szCs w:val="20"/>
              </w:rPr>
              <w:t>金额单位：万元</w:t>
            </w:r>
          </w:p>
        </w:tc>
      </w:tr>
      <w:tr w:rsidR="00B87C8A">
        <w:trPr>
          <w:trHeight w:val="447"/>
        </w:trPr>
        <w:tc>
          <w:tcPr>
            <w:tcW w:w="7708" w:type="dxa"/>
            <w:gridSpan w:val="6"/>
            <w:tcBorders>
              <w:top w:val="single" w:sz="4" w:space="0" w:color="000000"/>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预算数</w:t>
            </w:r>
          </w:p>
        </w:tc>
        <w:tc>
          <w:tcPr>
            <w:tcW w:w="7536" w:type="dxa"/>
            <w:gridSpan w:val="6"/>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决算数</w:t>
            </w:r>
          </w:p>
        </w:tc>
      </w:tr>
      <w:tr w:rsidR="00B87C8A">
        <w:trPr>
          <w:trHeight w:val="555"/>
        </w:trPr>
        <w:tc>
          <w:tcPr>
            <w:tcW w:w="988" w:type="dxa"/>
            <w:vMerge w:val="restart"/>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合计</w:t>
            </w:r>
          </w:p>
        </w:tc>
        <w:tc>
          <w:tcPr>
            <w:tcW w:w="1176"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因公出国（境）费</w:t>
            </w:r>
          </w:p>
        </w:tc>
        <w:tc>
          <w:tcPr>
            <w:tcW w:w="4032" w:type="dxa"/>
            <w:gridSpan w:val="3"/>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公务用车购置及运行费</w:t>
            </w:r>
          </w:p>
        </w:tc>
        <w:tc>
          <w:tcPr>
            <w:tcW w:w="1512"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公务接待费</w:t>
            </w:r>
          </w:p>
        </w:tc>
        <w:tc>
          <w:tcPr>
            <w:tcW w:w="776"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合计</w:t>
            </w:r>
          </w:p>
        </w:tc>
        <w:tc>
          <w:tcPr>
            <w:tcW w:w="1296"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因公出国（境）费</w:t>
            </w:r>
          </w:p>
        </w:tc>
        <w:tc>
          <w:tcPr>
            <w:tcW w:w="4144" w:type="dxa"/>
            <w:gridSpan w:val="3"/>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公务用车购置及运行费</w:t>
            </w:r>
          </w:p>
        </w:tc>
        <w:tc>
          <w:tcPr>
            <w:tcW w:w="1320"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公务接待费</w:t>
            </w:r>
          </w:p>
        </w:tc>
      </w:tr>
      <w:tr w:rsidR="00B87C8A">
        <w:trPr>
          <w:trHeight w:val="630"/>
        </w:trPr>
        <w:tc>
          <w:tcPr>
            <w:tcW w:w="988" w:type="dxa"/>
            <w:vMerge/>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1176"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79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小计</w:t>
            </w:r>
          </w:p>
        </w:tc>
        <w:tc>
          <w:tcPr>
            <w:tcW w:w="16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公务用车购置费</w:t>
            </w:r>
          </w:p>
        </w:tc>
        <w:tc>
          <w:tcPr>
            <w:tcW w:w="163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公务用车运行费</w:t>
            </w:r>
          </w:p>
        </w:tc>
        <w:tc>
          <w:tcPr>
            <w:tcW w:w="1512"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776"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1296"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c>
          <w:tcPr>
            <w:tcW w:w="83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小计</w:t>
            </w:r>
          </w:p>
        </w:tc>
        <w:tc>
          <w:tcPr>
            <w:tcW w:w="1704"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公务用车购置费</w:t>
            </w:r>
          </w:p>
        </w:tc>
        <w:tc>
          <w:tcPr>
            <w:tcW w:w="16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公务用车运行费</w:t>
            </w:r>
          </w:p>
        </w:tc>
        <w:tc>
          <w:tcPr>
            <w:tcW w:w="132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left"/>
              <w:rPr>
                <w:rFonts w:ascii="宋体" w:hAnsi="宋体" w:cs="宋体" w:hint="default"/>
                <w:color w:val="000000"/>
                <w:sz w:val="22"/>
              </w:rPr>
            </w:pPr>
          </w:p>
        </w:tc>
      </w:tr>
      <w:tr w:rsidR="00B87C8A">
        <w:trPr>
          <w:trHeight w:val="308"/>
        </w:trPr>
        <w:tc>
          <w:tcPr>
            <w:tcW w:w="988"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0"/>
                <w:szCs w:val="20"/>
              </w:rPr>
            </w:pPr>
            <w:r>
              <w:rPr>
                <w:rFonts w:ascii="宋体" w:hAnsi="宋体" w:cs="宋体"/>
                <w:color w:val="000000"/>
                <w:kern w:val="0"/>
                <w:sz w:val="20"/>
                <w:szCs w:val="20"/>
              </w:rPr>
              <w:t>1</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0"/>
                <w:szCs w:val="20"/>
              </w:rPr>
            </w:pPr>
            <w:r>
              <w:rPr>
                <w:rFonts w:ascii="宋体" w:hAnsi="宋体" w:cs="宋体"/>
                <w:color w:val="000000"/>
                <w:kern w:val="0"/>
                <w:sz w:val="20"/>
                <w:szCs w:val="20"/>
              </w:rPr>
              <w:t>2</w:t>
            </w:r>
          </w:p>
        </w:tc>
        <w:tc>
          <w:tcPr>
            <w:tcW w:w="79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0"/>
                <w:szCs w:val="20"/>
              </w:rPr>
            </w:pPr>
            <w:r>
              <w:rPr>
                <w:rFonts w:ascii="宋体" w:hAnsi="宋体" w:cs="宋体"/>
                <w:color w:val="000000"/>
                <w:kern w:val="0"/>
                <w:sz w:val="20"/>
                <w:szCs w:val="20"/>
              </w:rPr>
              <w:t>3</w:t>
            </w:r>
          </w:p>
        </w:tc>
        <w:tc>
          <w:tcPr>
            <w:tcW w:w="16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0"/>
                <w:szCs w:val="20"/>
              </w:rPr>
            </w:pPr>
            <w:r>
              <w:rPr>
                <w:rFonts w:ascii="宋体" w:hAnsi="宋体" w:cs="宋体"/>
                <w:color w:val="000000"/>
                <w:kern w:val="0"/>
                <w:sz w:val="20"/>
                <w:szCs w:val="20"/>
              </w:rPr>
              <w:t>4</w:t>
            </w:r>
          </w:p>
        </w:tc>
        <w:tc>
          <w:tcPr>
            <w:tcW w:w="163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0"/>
                <w:szCs w:val="20"/>
              </w:rPr>
            </w:pPr>
            <w:r>
              <w:rPr>
                <w:rFonts w:ascii="宋体" w:hAnsi="宋体" w:cs="宋体"/>
                <w:color w:val="000000"/>
                <w:kern w:val="0"/>
                <w:sz w:val="20"/>
                <w:szCs w:val="20"/>
              </w:rPr>
              <w:t>5</w:t>
            </w:r>
          </w:p>
        </w:tc>
        <w:tc>
          <w:tcPr>
            <w:tcW w:w="151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0"/>
                <w:szCs w:val="20"/>
              </w:rPr>
            </w:pPr>
            <w:r>
              <w:rPr>
                <w:rFonts w:ascii="宋体" w:hAnsi="宋体" w:cs="宋体"/>
                <w:color w:val="000000"/>
                <w:kern w:val="0"/>
                <w:sz w:val="20"/>
                <w:szCs w:val="20"/>
              </w:rPr>
              <w:t>6</w:t>
            </w:r>
          </w:p>
        </w:tc>
        <w:tc>
          <w:tcPr>
            <w:tcW w:w="77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0"/>
                <w:szCs w:val="20"/>
              </w:rPr>
            </w:pPr>
            <w:r>
              <w:rPr>
                <w:rFonts w:ascii="宋体" w:hAnsi="宋体" w:cs="宋体"/>
                <w:color w:val="000000"/>
                <w:kern w:val="0"/>
                <w:sz w:val="20"/>
                <w:szCs w:val="20"/>
              </w:rPr>
              <w:t>7</w:t>
            </w:r>
          </w:p>
        </w:tc>
        <w:tc>
          <w:tcPr>
            <w:tcW w:w="129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0"/>
                <w:szCs w:val="20"/>
              </w:rPr>
            </w:pPr>
            <w:r>
              <w:rPr>
                <w:rFonts w:ascii="宋体" w:hAnsi="宋体" w:cs="宋体"/>
                <w:color w:val="000000"/>
                <w:kern w:val="0"/>
                <w:sz w:val="20"/>
                <w:szCs w:val="20"/>
              </w:rPr>
              <w:t>8</w:t>
            </w:r>
          </w:p>
        </w:tc>
        <w:tc>
          <w:tcPr>
            <w:tcW w:w="83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0"/>
                <w:szCs w:val="20"/>
              </w:rPr>
            </w:pPr>
            <w:r>
              <w:rPr>
                <w:rFonts w:ascii="宋体" w:hAnsi="宋体" w:cs="宋体"/>
                <w:color w:val="000000"/>
                <w:kern w:val="0"/>
                <w:sz w:val="20"/>
                <w:szCs w:val="20"/>
              </w:rPr>
              <w:t>9</w:t>
            </w:r>
          </w:p>
        </w:tc>
        <w:tc>
          <w:tcPr>
            <w:tcW w:w="1704"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0"/>
                <w:szCs w:val="20"/>
              </w:rPr>
            </w:pPr>
            <w:r>
              <w:rPr>
                <w:rFonts w:ascii="宋体" w:hAnsi="宋体" w:cs="宋体"/>
                <w:color w:val="000000"/>
                <w:kern w:val="0"/>
                <w:sz w:val="20"/>
                <w:szCs w:val="20"/>
              </w:rPr>
              <w:t>10</w:t>
            </w:r>
          </w:p>
        </w:tc>
        <w:tc>
          <w:tcPr>
            <w:tcW w:w="16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0"/>
                <w:szCs w:val="20"/>
              </w:rPr>
            </w:pPr>
            <w:r>
              <w:rPr>
                <w:rFonts w:ascii="宋体" w:hAnsi="宋体" w:cs="宋体"/>
                <w:color w:val="000000"/>
                <w:kern w:val="0"/>
                <w:sz w:val="20"/>
                <w:szCs w:val="20"/>
              </w:rPr>
              <w:t>11</w:t>
            </w:r>
          </w:p>
        </w:tc>
        <w:tc>
          <w:tcPr>
            <w:tcW w:w="13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0"/>
                <w:szCs w:val="20"/>
              </w:rPr>
            </w:pPr>
            <w:r>
              <w:rPr>
                <w:rFonts w:ascii="宋体" w:hAnsi="宋体" w:cs="宋体"/>
                <w:color w:val="000000"/>
                <w:kern w:val="0"/>
                <w:sz w:val="20"/>
                <w:szCs w:val="20"/>
              </w:rPr>
              <w:t>12</w:t>
            </w:r>
          </w:p>
        </w:tc>
      </w:tr>
      <w:tr w:rsidR="00B87C8A">
        <w:trPr>
          <w:trHeight w:val="848"/>
        </w:trPr>
        <w:tc>
          <w:tcPr>
            <w:tcW w:w="988" w:type="dxa"/>
            <w:tcBorders>
              <w:top w:val="nil"/>
              <w:left w:val="single" w:sz="4" w:space="0" w:color="000000"/>
              <w:bottom w:val="single" w:sz="4" w:space="0" w:color="000000"/>
              <w:right w:val="single" w:sz="4" w:space="0" w:color="000000"/>
              <w:tl2br w:val="nil"/>
              <w:tr2bl w:val="nil"/>
            </w:tcBorders>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58.00</w:t>
            </w:r>
          </w:p>
        </w:tc>
        <w:tc>
          <w:tcPr>
            <w:tcW w:w="1176"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40.00</w:t>
            </w:r>
          </w:p>
        </w:tc>
        <w:tc>
          <w:tcPr>
            <w:tcW w:w="792"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center"/>
              <w:rPr>
                <w:rFonts w:ascii="宋体" w:hAnsi="宋体" w:cs="宋体" w:hint="default"/>
                <w:color w:val="000000"/>
                <w:sz w:val="22"/>
              </w:rPr>
            </w:pPr>
          </w:p>
        </w:tc>
        <w:tc>
          <w:tcPr>
            <w:tcW w:w="1608"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center"/>
              <w:rPr>
                <w:rFonts w:ascii="宋体" w:hAnsi="宋体" w:cs="宋体" w:hint="default"/>
                <w:color w:val="000000"/>
                <w:sz w:val="22"/>
              </w:rPr>
            </w:pPr>
          </w:p>
        </w:tc>
        <w:tc>
          <w:tcPr>
            <w:tcW w:w="1632"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center"/>
              <w:rPr>
                <w:rFonts w:ascii="宋体" w:hAnsi="宋体" w:cs="宋体" w:hint="default"/>
                <w:color w:val="000000"/>
                <w:sz w:val="22"/>
              </w:rPr>
            </w:pPr>
          </w:p>
        </w:tc>
        <w:tc>
          <w:tcPr>
            <w:tcW w:w="1512"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18.00</w:t>
            </w:r>
          </w:p>
        </w:tc>
        <w:tc>
          <w:tcPr>
            <w:tcW w:w="776"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18.00</w:t>
            </w:r>
          </w:p>
        </w:tc>
        <w:tc>
          <w:tcPr>
            <w:tcW w:w="1296"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center"/>
              <w:rPr>
                <w:rFonts w:ascii="宋体" w:hAnsi="宋体" w:cs="宋体" w:hint="default"/>
                <w:color w:val="000000"/>
                <w:sz w:val="22"/>
              </w:rPr>
            </w:pPr>
          </w:p>
        </w:tc>
        <w:tc>
          <w:tcPr>
            <w:tcW w:w="832"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center"/>
              <w:rPr>
                <w:rFonts w:ascii="宋体" w:hAnsi="宋体" w:cs="宋体" w:hint="default"/>
                <w:color w:val="000000"/>
                <w:sz w:val="20"/>
                <w:szCs w:val="20"/>
              </w:rPr>
            </w:pPr>
          </w:p>
        </w:tc>
        <w:tc>
          <w:tcPr>
            <w:tcW w:w="1704"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center"/>
              <w:rPr>
                <w:rFonts w:ascii="宋体" w:hAnsi="宋体" w:cs="宋体" w:hint="default"/>
                <w:color w:val="000000"/>
                <w:sz w:val="20"/>
                <w:szCs w:val="20"/>
              </w:rPr>
            </w:pPr>
          </w:p>
        </w:tc>
        <w:tc>
          <w:tcPr>
            <w:tcW w:w="1608"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center"/>
              <w:rPr>
                <w:rFonts w:ascii="宋体" w:hAnsi="宋体" w:cs="宋体" w:hint="default"/>
                <w:color w:val="000000"/>
                <w:sz w:val="20"/>
                <w:szCs w:val="20"/>
              </w:rPr>
            </w:pPr>
          </w:p>
        </w:tc>
        <w:tc>
          <w:tcPr>
            <w:tcW w:w="1320" w:type="dxa"/>
            <w:tcBorders>
              <w:top w:val="nil"/>
              <w:left w:val="nil"/>
              <w:bottom w:val="single" w:sz="4" w:space="0" w:color="000000"/>
              <w:right w:val="single" w:sz="4" w:space="0" w:color="000000"/>
              <w:tl2br w:val="nil"/>
              <w:tr2bl w:val="nil"/>
            </w:tcBorders>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18.00</w:t>
            </w:r>
          </w:p>
        </w:tc>
      </w:tr>
      <w:tr w:rsidR="00B87C8A">
        <w:trPr>
          <w:trHeight w:val="585"/>
        </w:trPr>
        <w:tc>
          <w:tcPr>
            <w:tcW w:w="15244" w:type="dxa"/>
            <w:gridSpan w:val="12"/>
            <w:tcBorders>
              <w:top w:val="nil"/>
              <w:left w:val="nil"/>
              <w:bottom w:val="nil"/>
              <w:right w:val="nil"/>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注：本表反映部门本年度“三公”经费支出预决算情况。其中，预算数为“三公”经费全年预算数，反映按规定程序调整后的预算数；决算数是包括当年一般公共预算财政拨款和以前年度结转资金安排的实际支出。</w:t>
            </w:r>
          </w:p>
        </w:tc>
      </w:tr>
    </w:tbl>
    <w:p w:rsidR="00B87C8A" w:rsidRDefault="00B87C8A">
      <w:pPr>
        <w:widowControl/>
        <w:spacing w:line="600" w:lineRule="exact"/>
        <w:ind w:firstLine="0"/>
        <w:jc w:val="center"/>
        <w:rPr>
          <w:rFonts w:ascii="黑体" w:eastAsia="黑体" w:hAnsi="Times New Roman" w:cs="黑体" w:hint="default"/>
          <w:sz w:val="32"/>
          <w:szCs w:val="32"/>
        </w:rPr>
        <w:sectPr w:rsidR="00B87C8A">
          <w:pgSz w:w="16838" w:h="11906" w:orient="landscape"/>
          <w:pgMar w:top="720" w:right="873" w:bottom="720" w:left="720" w:header="720" w:footer="720" w:gutter="0"/>
          <w:cols w:space="720"/>
        </w:sectPr>
      </w:pPr>
    </w:p>
    <w:tbl>
      <w:tblPr>
        <w:tblW w:w="15253" w:type="dxa"/>
        <w:tblInd w:w="96" w:type="dxa"/>
        <w:tblLook w:val="04A0"/>
      </w:tblPr>
      <w:tblGrid>
        <w:gridCol w:w="1616"/>
        <w:gridCol w:w="222"/>
        <w:gridCol w:w="222"/>
        <w:gridCol w:w="2761"/>
        <w:gridCol w:w="1888"/>
        <w:gridCol w:w="1510"/>
        <w:gridCol w:w="1699"/>
        <w:gridCol w:w="1699"/>
        <w:gridCol w:w="1699"/>
        <w:gridCol w:w="1937"/>
      </w:tblGrid>
      <w:tr w:rsidR="00B87C8A">
        <w:trPr>
          <w:trHeight w:val="384"/>
        </w:trPr>
        <w:tc>
          <w:tcPr>
            <w:tcW w:w="15253" w:type="dxa"/>
            <w:gridSpan w:val="10"/>
            <w:tcBorders>
              <w:top w:val="nil"/>
              <w:left w:val="nil"/>
              <w:bottom w:val="nil"/>
              <w:right w:val="nil"/>
              <w:tl2br w:val="nil"/>
              <w:tr2bl w:val="nil"/>
            </w:tcBorders>
            <w:noWrap/>
            <w:vAlign w:val="bottom"/>
          </w:tcPr>
          <w:p w:rsidR="00B87C8A" w:rsidRDefault="002D1C8A">
            <w:pPr>
              <w:widowControl/>
              <w:jc w:val="center"/>
              <w:textAlignment w:val="bottom"/>
              <w:rPr>
                <w:rFonts w:ascii="宋体" w:hAnsi="宋体" w:cs="宋体" w:hint="default"/>
                <w:color w:val="000000"/>
                <w:sz w:val="30"/>
                <w:szCs w:val="30"/>
              </w:rPr>
            </w:pPr>
            <w:r>
              <w:rPr>
                <w:rFonts w:ascii="宋体" w:hAnsi="宋体" w:cs="宋体"/>
                <w:color w:val="000000"/>
                <w:kern w:val="0"/>
                <w:sz w:val="30"/>
                <w:szCs w:val="30"/>
              </w:rPr>
              <w:lastRenderedPageBreak/>
              <w:t>八、政府性基金预算财政拨款收入支出决算表</w:t>
            </w:r>
          </w:p>
        </w:tc>
      </w:tr>
      <w:tr w:rsidR="00B87C8A">
        <w:trPr>
          <w:trHeight w:val="264"/>
        </w:trPr>
        <w:tc>
          <w:tcPr>
            <w:tcW w:w="0" w:type="auto"/>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0" w:type="auto"/>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0" w:type="auto"/>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0" w:type="auto"/>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1888"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1510" w:type="dxa"/>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0" w:type="auto"/>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0" w:type="auto"/>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0" w:type="auto"/>
            <w:tcBorders>
              <w:top w:val="nil"/>
              <w:left w:val="nil"/>
              <w:bottom w:val="nil"/>
              <w:right w:val="nil"/>
              <w:tl2br w:val="nil"/>
              <w:tr2bl w:val="nil"/>
            </w:tcBorders>
            <w:noWrap/>
            <w:vAlign w:val="bottom"/>
          </w:tcPr>
          <w:p w:rsidR="00B87C8A" w:rsidRDefault="00B87C8A">
            <w:pPr>
              <w:rPr>
                <w:rFonts w:ascii="Arial" w:hAnsi="Arial" w:cs="Arial" w:hint="default"/>
                <w:color w:val="000000"/>
                <w:sz w:val="20"/>
                <w:szCs w:val="20"/>
              </w:rPr>
            </w:pPr>
          </w:p>
        </w:tc>
        <w:tc>
          <w:tcPr>
            <w:tcW w:w="1937" w:type="dxa"/>
            <w:tcBorders>
              <w:top w:val="nil"/>
              <w:left w:val="nil"/>
              <w:bottom w:val="nil"/>
              <w:right w:val="nil"/>
              <w:tl2br w:val="nil"/>
              <w:tr2bl w:val="nil"/>
            </w:tcBorders>
            <w:noWrap/>
            <w:vAlign w:val="bottom"/>
          </w:tcPr>
          <w:p w:rsidR="00B87C8A" w:rsidRDefault="002D1C8A">
            <w:pPr>
              <w:widowControl/>
              <w:jc w:val="right"/>
              <w:textAlignment w:val="bottom"/>
              <w:rPr>
                <w:rFonts w:ascii="宋体" w:hAnsi="宋体" w:cs="宋体" w:hint="default"/>
                <w:color w:val="000000"/>
                <w:sz w:val="20"/>
                <w:szCs w:val="20"/>
              </w:rPr>
            </w:pPr>
            <w:r>
              <w:rPr>
                <w:rFonts w:ascii="宋体" w:hAnsi="宋体" w:cs="宋体"/>
                <w:color w:val="000000"/>
                <w:kern w:val="0"/>
                <w:sz w:val="20"/>
                <w:szCs w:val="20"/>
              </w:rPr>
              <w:t>公开08表</w:t>
            </w:r>
          </w:p>
        </w:tc>
      </w:tr>
      <w:tr w:rsidR="00B87C8A">
        <w:trPr>
          <w:trHeight w:val="264"/>
        </w:trPr>
        <w:tc>
          <w:tcPr>
            <w:tcW w:w="0" w:type="auto"/>
            <w:tcBorders>
              <w:top w:val="nil"/>
              <w:left w:val="nil"/>
              <w:bottom w:val="nil"/>
              <w:right w:val="nil"/>
              <w:tl2br w:val="nil"/>
              <w:tr2bl w:val="nil"/>
            </w:tcBorders>
            <w:noWrap/>
            <w:vAlign w:val="bottom"/>
          </w:tcPr>
          <w:p w:rsidR="00B87C8A" w:rsidRDefault="002D1C8A">
            <w:pPr>
              <w:widowControl/>
              <w:ind w:firstLine="0"/>
              <w:jc w:val="left"/>
              <w:textAlignment w:val="bottom"/>
              <w:rPr>
                <w:rFonts w:ascii="宋体" w:hAnsi="宋体" w:cs="宋体" w:hint="default"/>
                <w:color w:val="000000"/>
                <w:sz w:val="20"/>
                <w:szCs w:val="20"/>
              </w:rPr>
            </w:pPr>
            <w:r>
              <w:rPr>
                <w:rFonts w:ascii="宋体" w:hAnsi="宋体" w:cs="宋体"/>
                <w:color w:val="000000"/>
                <w:kern w:val="0"/>
                <w:sz w:val="20"/>
                <w:szCs w:val="20"/>
              </w:rPr>
              <w:t>部门：吉首大学</w:t>
            </w:r>
          </w:p>
        </w:tc>
        <w:tc>
          <w:tcPr>
            <w:tcW w:w="0" w:type="auto"/>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0" w:type="auto"/>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0" w:type="auto"/>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1888"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1510"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0" w:type="auto"/>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0" w:type="auto"/>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0" w:type="auto"/>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1937" w:type="dxa"/>
            <w:tcBorders>
              <w:top w:val="nil"/>
              <w:left w:val="nil"/>
              <w:bottom w:val="nil"/>
              <w:right w:val="nil"/>
              <w:tl2br w:val="nil"/>
              <w:tr2bl w:val="nil"/>
            </w:tcBorders>
            <w:noWrap/>
            <w:vAlign w:val="bottom"/>
          </w:tcPr>
          <w:p w:rsidR="00B87C8A" w:rsidRDefault="002D1C8A">
            <w:pPr>
              <w:widowControl/>
              <w:ind w:firstLine="0"/>
              <w:jc w:val="right"/>
              <w:textAlignment w:val="bottom"/>
              <w:rPr>
                <w:rFonts w:ascii="宋体" w:hAnsi="宋体" w:cs="宋体" w:hint="default"/>
                <w:color w:val="000000"/>
                <w:sz w:val="20"/>
                <w:szCs w:val="20"/>
              </w:rPr>
            </w:pPr>
            <w:r>
              <w:rPr>
                <w:rFonts w:ascii="宋体" w:hAnsi="宋体" w:cs="宋体"/>
                <w:color w:val="000000"/>
                <w:kern w:val="0"/>
                <w:sz w:val="20"/>
                <w:szCs w:val="20"/>
              </w:rPr>
              <w:t>金额单位：万元</w:t>
            </w:r>
          </w:p>
        </w:tc>
      </w:tr>
      <w:tr w:rsidR="00B87C8A">
        <w:trPr>
          <w:trHeight w:val="308"/>
        </w:trPr>
        <w:tc>
          <w:tcPr>
            <w:tcW w:w="4821" w:type="dxa"/>
            <w:gridSpan w:val="4"/>
            <w:tcBorders>
              <w:top w:val="single" w:sz="4" w:space="0" w:color="000000"/>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项     目</w:t>
            </w:r>
          </w:p>
        </w:tc>
        <w:tc>
          <w:tcPr>
            <w:tcW w:w="1888" w:type="dxa"/>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年初结转和结余</w:t>
            </w:r>
          </w:p>
        </w:tc>
        <w:tc>
          <w:tcPr>
            <w:tcW w:w="1510" w:type="dxa"/>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本年收入</w:t>
            </w:r>
          </w:p>
        </w:tc>
        <w:tc>
          <w:tcPr>
            <w:tcW w:w="5097" w:type="dxa"/>
            <w:gridSpan w:val="3"/>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本年支出</w:t>
            </w:r>
          </w:p>
        </w:tc>
        <w:tc>
          <w:tcPr>
            <w:tcW w:w="1937" w:type="dxa"/>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年末结转和结余</w:t>
            </w:r>
          </w:p>
        </w:tc>
      </w:tr>
      <w:tr w:rsidR="00B87C8A">
        <w:trPr>
          <w:trHeight w:val="848"/>
        </w:trPr>
        <w:tc>
          <w:tcPr>
            <w:tcW w:w="2060" w:type="dxa"/>
            <w:gridSpan w:val="3"/>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功能分类科目编码</w:t>
            </w:r>
          </w:p>
        </w:tc>
        <w:tc>
          <w:tcPr>
            <w:tcW w:w="2761"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科目名称</w:t>
            </w:r>
          </w:p>
        </w:tc>
        <w:tc>
          <w:tcPr>
            <w:tcW w:w="1888"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151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1699"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小计</w:t>
            </w:r>
          </w:p>
        </w:tc>
        <w:tc>
          <w:tcPr>
            <w:tcW w:w="1699"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基本支出</w:t>
            </w:r>
          </w:p>
        </w:tc>
        <w:tc>
          <w:tcPr>
            <w:tcW w:w="1699"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项目支出</w:t>
            </w:r>
          </w:p>
        </w:tc>
        <w:tc>
          <w:tcPr>
            <w:tcW w:w="1937"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r>
      <w:tr w:rsidR="00B87C8A">
        <w:trPr>
          <w:trHeight w:val="308"/>
        </w:trPr>
        <w:tc>
          <w:tcPr>
            <w:tcW w:w="4821" w:type="dxa"/>
            <w:gridSpan w:val="4"/>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栏  次</w:t>
            </w:r>
          </w:p>
        </w:tc>
        <w:tc>
          <w:tcPr>
            <w:tcW w:w="188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1</w:t>
            </w:r>
          </w:p>
        </w:tc>
        <w:tc>
          <w:tcPr>
            <w:tcW w:w="151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2</w:t>
            </w:r>
          </w:p>
        </w:tc>
        <w:tc>
          <w:tcPr>
            <w:tcW w:w="0" w:type="auto"/>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3</w:t>
            </w:r>
          </w:p>
        </w:tc>
        <w:tc>
          <w:tcPr>
            <w:tcW w:w="0" w:type="auto"/>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4</w:t>
            </w:r>
          </w:p>
        </w:tc>
        <w:tc>
          <w:tcPr>
            <w:tcW w:w="0" w:type="auto"/>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5</w:t>
            </w:r>
          </w:p>
        </w:tc>
        <w:tc>
          <w:tcPr>
            <w:tcW w:w="1937"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6</w:t>
            </w:r>
          </w:p>
        </w:tc>
      </w:tr>
      <w:tr w:rsidR="00B87C8A">
        <w:trPr>
          <w:trHeight w:val="308"/>
        </w:trPr>
        <w:tc>
          <w:tcPr>
            <w:tcW w:w="4821" w:type="dxa"/>
            <w:gridSpan w:val="4"/>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合  计</w:t>
            </w:r>
          </w:p>
        </w:tc>
        <w:tc>
          <w:tcPr>
            <w:tcW w:w="1888"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b/>
                <w:color w:val="000000"/>
                <w:sz w:val="22"/>
              </w:rPr>
            </w:pPr>
          </w:p>
        </w:tc>
        <w:tc>
          <w:tcPr>
            <w:tcW w:w="151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b/>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b/>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b/>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b/>
                <w:color w:val="000000"/>
                <w:sz w:val="22"/>
              </w:rPr>
            </w:pPr>
          </w:p>
        </w:tc>
        <w:tc>
          <w:tcPr>
            <w:tcW w:w="1937"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b/>
                <w:color w:val="000000"/>
                <w:sz w:val="22"/>
              </w:rPr>
            </w:pPr>
          </w:p>
        </w:tc>
      </w:tr>
      <w:tr w:rsidR="00B87C8A">
        <w:trPr>
          <w:trHeight w:val="308"/>
        </w:trPr>
        <w:tc>
          <w:tcPr>
            <w:tcW w:w="0" w:type="auto"/>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c>
          <w:tcPr>
            <w:tcW w:w="1888"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937"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0" w:type="auto"/>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c>
          <w:tcPr>
            <w:tcW w:w="1888"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937"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0" w:type="auto"/>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c>
          <w:tcPr>
            <w:tcW w:w="1888"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937"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0" w:type="auto"/>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c>
          <w:tcPr>
            <w:tcW w:w="1888"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937"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0" w:type="auto"/>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c>
          <w:tcPr>
            <w:tcW w:w="1888"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937"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0" w:type="auto"/>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c>
          <w:tcPr>
            <w:tcW w:w="1888"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51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1937"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r>
      <w:tr w:rsidR="00B87C8A">
        <w:trPr>
          <w:trHeight w:val="308"/>
        </w:trPr>
        <w:tc>
          <w:tcPr>
            <w:tcW w:w="15253" w:type="dxa"/>
            <w:gridSpan w:val="10"/>
            <w:tcBorders>
              <w:top w:val="nil"/>
              <w:left w:val="nil"/>
              <w:bottom w:val="nil"/>
              <w:right w:val="nil"/>
              <w:tl2br w:val="nil"/>
              <w:tr2bl w:val="nil"/>
            </w:tcBorders>
            <w:noWrap/>
            <w:vAlign w:val="center"/>
          </w:tcPr>
          <w:p w:rsidR="00B87C8A" w:rsidRDefault="002D1C8A">
            <w:pPr>
              <w:widowControl/>
              <w:ind w:firstLine="0"/>
              <w:jc w:val="left"/>
              <w:textAlignment w:val="center"/>
              <w:rPr>
                <w:rFonts w:ascii="宋体" w:hAnsi="宋体" w:cs="宋体" w:hint="default"/>
                <w:color w:val="000000"/>
                <w:kern w:val="0"/>
                <w:sz w:val="22"/>
              </w:rPr>
            </w:pPr>
            <w:r>
              <w:rPr>
                <w:rFonts w:ascii="宋体" w:hAnsi="宋体" w:cs="宋体"/>
                <w:color w:val="000000"/>
                <w:kern w:val="0"/>
                <w:sz w:val="22"/>
              </w:rPr>
              <w:t>注：本表反映部门本年度政府性基金预算财政拨款收入、支出及结转和结余情况。</w:t>
            </w:r>
          </w:p>
          <w:p w:rsidR="002D1C8A" w:rsidRDefault="002D1C8A">
            <w:pPr>
              <w:widowControl/>
              <w:ind w:firstLine="0"/>
              <w:jc w:val="left"/>
              <w:textAlignment w:val="center"/>
              <w:rPr>
                <w:rFonts w:ascii="宋体" w:hAnsi="宋体" w:cs="宋体" w:hint="default"/>
                <w:color w:val="000000"/>
                <w:sz w:val="22"/>
              </w:rPr>
            </w:pPr>
          </w:p>
        </w:tc>
      </w:tr>
      <w:tr w:rsidR="00B87C8A">
        <w:trPr>
          <w:trHeight w:val="308"/>
        </w:trPr>
        <w:tc>
          <w:tcPr>
            <w:tcW w:w="15253" w:type="dxa"/>
            <w:gridSpan w:val="10"/>
            <w:tcBorders>
              <w:top w:val="nil"/>
              <w:left w:val="nil"/>
              <w:bottom w:val="nil"/>
              <w:right w:val="nil"/>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说明：我单位没有政府性基金收入，也没有使用政府性基金安排的支出，故本表无数据。</w:t>
            </w:r>
          </w:p>
        </w:tc>
      </w:tr>
    </w:tbl>
    <w:p w:rsidR="00B87C8A" w:rsidRDefault="00B87C8A">
      <w:pPr>
        <w:widowControl/>
        <w:spacing w:line="600" w:lineRule="exact"/>
        <w:ind w:firstLine="0"/>
        <w:jc w:val="center"/>
        <w:rPr>
          <w:rFonts w:ascii="黑体" w:eastAsia="黑体" w:hAnsi="Times New Roman" w:cs="黑体" w:hint="default"/>
          <w:sz w:val="32"/>
          <w:szCs w:val="32"/>
        </w:rPr>
        <w:sectPr w:rsidR="00B87C8A">
          <w:pgSz w:w="16838" w:h="11906" w:orient="landscape"/>
          <w:pgMar w:top="720" w:right="873" w:bottom="720" w:left="720" w:header="720" w:footer="720" w:gutter="0"/>
          <w:cols w:space="720"/>
        </w:sectPr>
      </w:pPr>
    </w:p>
    <w:tbl>
      <w:tblPr>
        <w:tblW w:w="15292" w:type="dxa"/>
        <w:tblInd w:w="96" w:type="dxa"/>
        <w:tblLayout w:type="fixed"/>
        <w:tblLook w:val="04A0"/>
      </w:tblPr>
      <w:tblGrid>
        <w:gridCol w:w="2328"/>
        <w:gridCol w:w="319"/>
        <w:gridCol w:w="319"/>
        <w:gridCol w:w="3554"/>
        <w:gridCol w:w="2748"/>
        <w:gridCol w:w="2664"/>
        <w:gridCol w:w="3360"/>
      </w:tblGrid>
      <w:tr w:rsidR="00B87C8A">
        <w:trPr>
          <w:trHeight w:val="384"/>
        </w:trPr>
        <w:tc>
          <w:tcPr>
            <w:tcW w:w="15292" w:type="dxa"/>
            <w:gridSpan w:val="7"/>
            <w:tcBorders>
              <w:top w:val="nil"/>
              <w:left w:val="nil"/>
              <w:bottom w:val="nil"/>
              <w:right w:val="nil"/>
              <w:tl2br w:val="nil"/>
              <w:tr2bl w:val="nil"/>
            </w:tcBorders>
            <w:noWrap/>
            <w:vAlign w:val="bottom"/>
          </w:tcPr>
          <w:p w:rsidR="00B87C8A" w:rsidRDefault="002D1C8A">
            <w:pPr>
              <w:widowControl/>
              <w:ind w:firstLine="0"/>
              <w:jc w:val="center"/>
              <w:textAlignment w:val="bottom"/>
              <w:rPr>
                <w:rFonts w:ascii="宋体" w:hAnsi="宋体" w:cs="宋体" w:hint="default"/>
                <w:color w:val="000000"/>
                <w:sz w:val="30"/>
                <w:szCs w:val="30"/>
              </w:rPr>
            </w:pPr>
            <w:r>
              <w:rPr>
                <w:rFonts w:ascii="宋体" w:hAnsi="宋体" w:cs="宋体"/>
                <w:color w:val="000000"/>
                <w:kern w:val="0"/>
                <w:sz w:val="30"/>
                <w:szCs w:val="30"/>
              </w:rPr>
              <w:lastRenderedPageBreak/>
              <w:t>九、国有资本经营预算财政拨款支出决算表</w:t>
            </w:r>
          </w:p>
        </w:tc>
      </w:tr>
      <w:tr w:rsidR="00B87C8A">
        <w:trPr>
          <w:trHeight w:val="264"/>
        </w:trPr>
        <w:tc>
          <w:tcPr>
            <w:tcW w:w="2328"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319"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319"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3554"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2748"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2664"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3360" w:type="dxa"/>
            <w:tcBorders>
              <w:top w:val="nil"/>
              <w:left w:val="nil"/>
              <w:bottom w:val="nil"/>
              <w:right w:val="nil"/>
              <w:tl2br w:val="nil"/>
              <w:tr2bl w:val="nil"/>
            </w:tcBorders>
            <w:noWrap/>
            <w:vAlign w:val="bottom"/>
          </w:tcPr>
          <w:p w:rsidR="00B87C8A" w:rsidRDefault="002D1C8A">
            <w:pPr>
              <w:widowControl/>
              <w:ind w:firstLine="0"/>
              <w:jc w:val="right"/>
              <w:textAlignment w:val="bottom"/>
              <w:rPr>
                <w:rFonts w:ascii="宋体" w:hAnsi="宋体" w:cs="宋体" w:hint="default"/>
                <w:color w:val="000000"/>
                <w:sz w:val="20"/>
                <w:szCs w:val="20"/>
              </w:rPr>
            </w:pPr>
            <w:r>
              <w:rPr>
                <w:rFonts w:ascii="宋体" w:hAnsi="宋体" w:cs="宋体"/>
                <w:color w:val="000000"/>
                <w:kern w:val="0"/>
                <w:sz w:val="20"/>
                <w:szCs w:val="20"/>
              </w:rPr>
              <w:t>公开09表</w:t>
            </w:r>
          </w:p>
        </w:tc>
      </w:tr>
      <w:tr w:rsidR="00B87C8A">
        <w:trPr>
          <w:trHeight w:val="264"/>
        </w:trPr>
        <w:tc>
          <w:tcPr>
            <w:tcW w:w="2328" w:type="dxa"/>
            <w:tcBorders>
              <w:top w:val="nil"/>
              <w:left w:val="nil"/>
              <w:bottom w:val="nil"/>
              <w:right w:val="nil"/>
              <w:tl2br w:val="nil"/>
              <w:tr2bl w:val="nil"/>
            </w:tcBorders>
            <w:noWrap/>
            <w:vAlign w:val="bottom"/>
          </w:tcPr>
          <w:p w:rsidR="00B87C8A" w:rsidRDefault="002D1C8A">
            <w:pPr>
              <w:widowControl/>
              <w:ind w:firstLine="0"/>
              <w:jc w:val="left"/>
              <w:textAlignment w:val="bottom"/>
              <w:rPr>
                <w:rFonts w:ascii="宋体" w:hAnsi="宋体" w:cs="宋体" w:hint="default"/>
                <w:color w:val="000000"/>
                <w:sz w:val="20"/>
                <w:szCs w:val="20"/>
              </w:rPr>
            </w:pPr>
            <w:r>
              <w:rPr>
                <w:rFonts w:ascii="宋体" w:hAnsi="宋体" w:cs="宋体"/>
                <w:color w:val="000000"/>
                <w:kern w:val="0"/>
                <w:sz w:val="20"/>
                <w:szCs w:val="20"/>
              </w:rPr>
              <w:t>部门：吉首大学</w:t>
            </w:r>
          </w:p>
        </w:tc>
        <w:tc>
          <w:tcPr>
            <w:tcW w:w="319"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319"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3554"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2748"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2664" w:type="dxa"/>
            <w:tcBorders>
              <w:top w:val="nil"/>
              <w:left w:val="nil"/>
              <w:bottom w:val="nil"/>
              <w:right w:val="nil"/>
              <w:tl2br w:val="nil"/>
              <w:tr2bl w:val="nil"/>
            </w:tcBorders>
            <w:noWrap/>
            <w:vAlign w:val="bottom"/>
          </w:tcPr>
          <w:p w:rsidR="00B87C8A" w:rsidRDefault="00B87C8A">
            <w:pPr>
              <w:widowControl/>
              <w:ind w:firstLine="0"/>
              <w:rPr>
                <w:rFonts w:ascii="Arial" w:hAnsi="Arial" w:cs="Arial" w:hint="default"/>
                <w:color w:val="000000"/>
                <w:sz w:val="20"/>
                <w:szCs w:val="20"/>
              </w:rPr>
            </w:pPr>
          </w:p>
        </w:tc>
        <w:tc>
          <w:tcPr>
            <w:tcW w:w="3360" w:type="dxa"/>
            <w:tcBorders>
              <w:top w:val="nil"/>
              <w:left w:val="nil"/>
              <w:bottom w:val="nil"/>
              <w:right w:val="nil"/>
              <w:tl2br w:val="nil"/>
              <w:tr2bl w:val="nil"/>
            </w:tcBorders>
            <w:noWrap/>
            <w:vAlign w:val="bottom"/>
          </w:tcPr>
          <w:p w:rsidR="00B87C8A" w:rsidRDefault="002D1C8A">
            <w:pPr>
              <w:widowControl/>
              <w:ind w:firstLine="0"/>
              <w:jc w:val="right"/>
              <w:textAlignment w:val="bottom"/>
              <w:rPr>
                <w:rFonts w:ascii="宋体" w:hAnsi="宋体" w:cs="宋体" w:hint="default"/>
                <w:color w:val="000000"/>
                <w:sz w:val="20"/>
                <w:szCs w:val="20"/>
              </w:rPr>
            </w:pPr>
            <w:r>
              <w:rPr>
                <w:rFonts w:ascii="宋体" w:hAnsi="宋体" w:cs="宋体"/>
                <w:color w:val="000000"/>
                <w:kern w:val="0"/>
                <w:sz w:val="20"/>
                <w:szCs w:val="20"/>
              </w:rPr>
              <w:t>金额单位：万元</w:t>
            </w:r>
          </w:p>
        </w:tc>
      </w:tr>
      <w:tr w:rsidR="00B87C8A">
        <w:trPr>
          <w:trHeight w:val="417"/>
        </w:trPr>
        <w:tc>
          <w:tcPr>
            <w:tcW w:w="6520" w:type="dxa"/>
            <w:gridSpan w:val="4"/>
            <w:tcBorders>
              <w:top w:val="single" w:sz="4" w:space="0" w:color="000000"/>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项目</w:t>
            </w:r>
          </w:p>
        </w:tc>
        <w:tc>
          <w:tcPr>
            <w:tcW w:w="8772" w:type="dxa"/>
            <w:gridSpan w:val="3"/>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本年支出</w:t>
            </w:r>
          </w:p>
        </w:tc>
      </w:tr>
      <w:tr w:rsidR="00B87C8A">
        <w:trPr>
          <w:trHeight w:val="308"/>
        </w:trPr>
        <w:tc>
          <w:tcPr>
            <w:tcW w:w="2966" w:type="dxa"/>
            <w:gridSpan w:val="3"/>
            <w:vMerge w:val="restart"/>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功能分类科目编码</w:t>
            </w:r>
          </w:p>
        </w:tc>
        <w:tc>
          <w:tcPr>
            <w:tcW w:w="3554"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科目名称</w:t>
            </w:r>
          </w:p>
        </w:tc>
        <w:tc>
          <w:tcPr>
            <w:tcW w:w="2748"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合计</w:t>
            </w:r>
          </w:p>
        </w:tc>
        <w:tc>
          <w:tcPr>
            <w:tcW w:w="2664"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基本支出</w:t>
            </w:r>
          </w:p>
        </w:tc>
        <w:tc>
          <w:tcPr>
            <w:tcW w:w="3360"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项目支出</w:t>
            </w:r>
          </w:p>
        </w:tc>
      </w:tr>
      <w:tr w:rsidR="00B87C8A">
        <w:trPr>
          <w:trHeight w:val="308"/>
        </w:trPr>
        <w:tc>
          <w:tcPr>
            <w:tcW w:w="2966" w:type="dxa"/>
            <w:gridSpan w:val="3"/>
            <w:vMerge/>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3554"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2748"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2664"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336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r>
      <w:tr w:rsidR="00B87C8A">
        <w:trPr>
          <w:trHeight w:val="315"/>
        </w:trPr>
        <w:tc>
          <w:tcPr>
            <w:tcW w:w="2966" w:type="dxa"/>
            <w:gridSpan w:val="3"/>
            <w:vMerge/>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3554"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2748"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2664"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c>
          <w:tcPr>
            <w:tcW w:w="336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2"/>
              </w:rPr>
            </w:pPr>
          </w:p>
        </w:tc>
      </w:tr>
      <w:tr w:rsidR="00B87C8A">
        <w:trPr>
          <w:trHeight w:val="308"/>
        </w:trPr>
        <w:tc>
          <w:tcPr>
            <w:tcW w:w="6520" w:type="dxa"/>
            <w:gridSpan w:val="4"/>
            <w:tcBorders>
              <w:top w:val="nil"/>
              <w:left w:val="single" w:sz="4" w:space="0" w:color="000000"/>
              <w:bottom w:val="single" w:sz="4" w:space="0" w:color="000000"/>
              <w:right w:val="single" w:sz="4" w:space="0" w:color="000000"/>
              <w:tl2br w:val="nil"/>
              <w:tr2bl w:val="nil"/>
            </w:tcBorders>
            <w:shd w:val="clear" w:color="FFFFFF" w:fill="C0C0C0"/>
            <w:noWrap/>
            <w:vAlign w:val="bottom"/>
          </w:tcPr>
          <w:p w:rsidR="00B87C8A" w:rsidRDefault="002D1C8A">
            <w:pPr>
              <w:widowControl/>
              <w:ind w:firstLine="0"/>
              <w:jc w:val="center"/>
              <w:textAlignment w:val="bottom"/>
              <w:rPr>
                <w:rFonts w:ascii="宋体" w:hAnsi="宋体" w:cs="宋体" w:hint="default"/>
                <w:color w:val="000000"/>
                <w:sz w:val="22"/>
              </w:rPr>
            </w:pPr>
            <w:r>
              <w:rPr>
                <w:rFonts w:ascii="宋体" w:hAnsi="宋体" w:cs="宋体"/>
                <w:color w:val="000000"/>
                <w:kern w:val="0"/>
                <w:sz w:val="22"/>
              </w:rPr>
              <w:t>栏次</w:t>
            </w:r>
          </w:p>
        </w:tc>
        <w:tc>
          <w:tcPr>
            <w:tcW w:w="274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3</w:t>
            </w:r>
          </w:p>
        </w:tc>
        <w:tc>
          <w:tcPr>
            <w:tcW w:w="2664"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0"/>
                <w:szCs w:val="20"/>
              </w:rPr>
            </w:pPr>
          </w:p>
        </w:tc>
        <w:tc>
          <w:tcPr>
            <w:tcW w:w="336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widowControl/>
              <w:ind w:firstLine="0"/>
              <w:jc w:val="center"/>
              <w:rPr>
                <w:rFonts w:ascii="宋体" w:hAnsi="宋体" w:cs="宋体" w:hint="default"/>
                <w:color w:val="000000"/>
                <w:sz w:val="20"/>
                <w:szCs w:val="20"/>
              </w:rPr>
            </w:pPr>
          </w:p>
        </w:tc>
      </w:tr>
      <w:tr w:rsidR="00B87C8A">
        <w:trPr>
          <w:trHeight w:val="308"/>
        </w:trPr>
        <w:tc>
          <w:tcPr>
            <w:tcW w:w="6520" w:type="dxa"/>
            <w:gridSpan w:val="4"/>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widowControl/>
              <w:ind w:firstLine="0"/>
              <w:jc w:val="center"/>
              <w:textAlignment w:val="center"/>
              <w:rPr>
                <w:rFonts w:ascii="宋体" w:hAnsi="宋体" w:cs="宋体" w:hint="default"/>
                <w:color w:val="000000"/>
                <w:sz w:val="22"/>
              </w:rPr>
            </w:pPr>
            <w:r>
              <w:rPr>
                <w:rFonts w:ascii="宋体" w:hAnsi="宋体" w:cs="宋体"/>
                <w:color w:val="000000"/>
                <w:kern w:val="0"/>
                <w:sz w:val="22"/>
              </w:rPr>
              <w:t>合计</w:t>
            </w:r>
          </w:p>
        </w:tc>
        <w:tc>
          <w:tcPr>
            <w:tcW w:w="2748"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b/>
                <w:color w:val="000000"/>
                <w:sz w:val="22"/>
              </w:rPr>
            </w:pPr>
          </w:p>
        </w:tc>
        <w:tc>
          <w:tcPr>
            <w:tcW w:w="2664"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b/>
                <w:color w:val="000000"/>
                <w:sz w:val="20"/>
                <w:szCs w:val="20"/>
              </w:rPr>
            </w:pPr>
          </w:p>
        </w:tc>
        <w:tc>
          <w:tcPr>
            <w:tcW w:w="33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b/>
                <w:color w:val="000000"/>
                <w:sz w:val="20"/>
                <w:szCs w:val="20"/>
              </w:rPr>
            </w:pPr>
          </w:p>
        </w:tc>
      </w:tr>
      <w:tr w:rsidR="00B87C8A">
        <w:trPr>
          <w:trHeight w:val="308"/>
        </w:trPr>
        <w:tc>
          <w:tcPr>
            <w:tcW w:w="2966"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c>
          <w:tcPr>
            <w:tcW w:w="3554"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c>
          <w:tcPr>
            <w:tcW w:w="2748"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2664"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0"/>
                <w:szCs w:val="20"/>
              </w:rPr>
            </w:pPr>
          </w:p>
        </w:tc>
        <w:tc>
          <w:tcPr>
            <w:tcW w:w="33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0"/>
                <w:szCs w:val="20"/>
              </w:rPr>
            </w:pPr>
          </w:p>
        </w:tc>
      </w:tr>
      <w:tr w:rsidR="00B87C8A">
        <w:trPr>
          <w:trHeight w:val="308"/>
        </w:trPr>
        <w:tc>
          <w:tcPr>
            <w:tcW w:w="2966"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c>
          <w:tcPr>
            <w:tcW w:w="3554"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c>
          <w:tcPr>
            <w:tcW w:w="2748"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2664"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0"/>
                <w:szCs w:val="20"/>
              </w:rPr>
            </w:pPr>
          </w:p>
        </w:tc>
        <w:tc>
          <w:tcPr>
            <w:tcW w:w="33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0"/>
                <w:szCs w:val="20"/>
              </w:rPr>
            </w:pPr>
          </w:p>
        </w:tc>
      </w:tr>
      <w:tr w:rsidR="00B87C8A">
        <w:trPr>
          <w:trHeight w:val="308"/>
        </w:trPr>
        <w:tc>
          <w:tcPr>
            <w:tcW w:w="2966"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c>
          <w:tcPr>
            <w:tcW w:w="3554"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c>
          <w:tcPr>
            <w:tcW w:w="2748"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2664"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0"/>
                <w:szCs w:val="20"/>
              </w:rPr>
            </w:pPr>
          </w:p>
        </w:tc>
        <w:tc>
          <w:tcPr>
            <w:tcW w:w="33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0"/>
                <w:szCs w:val="20"/>
              </w:rPr>
            </w:pPr>
          </w:p>
        </w:tc>
      </w:tr>
      <w:tr w:rsidR="00B87C8A">
        <w:trPr>
          <w:trHeight w:val="308"/>
        </w:trPr>
        <w:tc>
          <w:tcPr>
            <w:tcW w:w="2966"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c>
          <w:tcPr>
            <w:tcW w:w="3554"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c>
          <w:tcPr>
            <w:tcW w:w="2748"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2664"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0"/>
                <w:szCs w:val="20"/>
              </w:rPr>
            </w:pPr>
          </w:p>
        </w:tc>
        <w:tc>
          <w:tcPr>
            <w:tcW w:w="33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0"/>
                <w:szCs w:val="20"/>
              </w:rPr>
            </w:pPr>
          </w:p>
        </w:tc>
      </w:tr>
      <w:tr w:rsidR="00B87C8A">
        <w:trPr>
          <w:trHeight w:val="308"/>
        </w:trPr>
        <w:tc>
          <w:tcPr>
            <w:tcW w:w="2966"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c>
          <w:tcPr>
            <w:tcW w:w="3554"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c>
          <w:tcPr>
            <w:tcW w:w="2748"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2664"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0"/>
                <w:szCs w:val="20"/>
              </w:rPr>
            </w:pPr>
          </w:p>
        </w:tc>
        <w:tc>
          <w:tcPr>
            <w:tcW w:w="33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0"/>
                <w:szCs w:val="20"/>
              </w:rPr>
            </w:pPr>
          </w:p>
        </w:tc>
      </w:tr>
      <w:tr w:rsidR="00B87C8A">
        <w:trPr>
          <w:trHeight w:val="308"/>
        </w:trPr>
        <w:tc>
          <w:tcPr>
            <w:tcW w:w="2966" w:type="dxa"/>
            <w:gridSpan w:val="3"/>
            <w:tcBorders>
              <w:top w:val="nil"/>
              <w:left w:val="single" w:sz="4" w:space="0" w:color="000000"/>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c>
          <w:tcPr>
            <w:tcW w:w="3554"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left"/>
              <w:rPr>
                <w:rFonts w:ascii="宋体" w:hAnsi="宋体" w:cs="宋体" w:hint="default"/>
                <w:color w:val="000000"/>
                <w:sz w:val="22"/>
              </w:rPr>
            </w:pPr>
          </w:p>
        </w:tc>
        <w:tc>
          <w:tcPr>
            <w:tcW w:w="2748"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2"/>
              </w:rPr>
            </w:pPr>
          </w:p>
        </w:tc>
        <w:tc>
          <w:tcPr>
            <w:tcW w:w="2664"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0"/>
                <w:szCs w:val="20"/>
              </w:rPr>
            </w:pPr>
          </w:p>
        </w:tc>
        <w:tc>
          <w:tcPr>
            <w:tcW w:w="3360" w:type="dxa"/>
            <w:tcBorders>
              <w:top w:val="nil"/>
              <w:left w:val="nil"/>
              <w:bottom w:val="single" w:sz="4" w:space="0" w:color="000000"/>
              <w:right w:val="single" w:sz="4" w:space="0" w:color="000000"/>
              <w:tl2br w:val="nil"/>
              <w:tr2bl w:val="nil"/>
            </w:tcBorders>
            <w:noWrap/>
            <w:vAlign w:val="center"/>
          </w:tcPr>
          <w:p w:rsidR="00B87C8A" w:rsidRDefault="00B87C8A">
            <w:pPr>
              <w:widowControl/>
              <w:ind w:firstLine="0"/>
              <w:jc w:val="right"/>
              <w:rPr>
                <w:rFonts w:ascii="宋体" w:hAnsi="宋体" w:cs="宋体" w:hint="default"/>
                <w:color w:val="000000"/>
                <w:sz w:val="20"/>
                <w:szCs w:val="20"/>
              </w:rPr>
            </w:pPr>
          </w:p>
        </w:tc>
      </w:tr>
      <w:tr w:rsidR="00B87C8A">
        <w:trPr>
          <w:trHeight w:val="308"/>
        </w:trPr>
        <w:tc>
          <w:tcPr>
            <w:tcW w:w="9268" w:type="dxa"/>
            <w:gridSpan w:val="5"/>
            <w:tcBorders>
              <w:top w:val="nil"/>
              <w:left w:val="nil"/>
              <w:bottom w:val="nil"/>
              <w:right w:val="nil"/>
              <w:tl2br w:val="nil"/>
              <w:tr2bl w:val="nil"/>
            </w:tcBorders>
            <w:noWrap/>
            <w:vAlign w:val="center"/>
          </w:tcPr>
          <w:p w:rsidR="00B87C8A" w:rsidRDefault="002D1C8A">
            <w:pPr>
              <w:widowControl/>
              <w:ind w:firstLine="0"/>
              <w:jc w:val="left"/>
              <w:textAlignment w:val="center"/>
              <w:rPr>
                <w:rFonts w:ascii="宋体" w:hAnsi="宋体" w:cs="宋体" w:hint="default"/>
                <w:color w:val="000000"/>
                <w:sz w:val="22"/>
              </w:rPr>
            </w:pPr>
            <w:r>
              <w:rPr>
                <w:rFonts w:ascii="宋体" w:hAnsi="宋体" w:cs="宋体"/>
                <w:color w:val="000000"/>
                <w:kern w:val="0"/>
                <w:sz w:val="22"/>
              </w:rPr>
              <w:t>注：本表反映部门本年度国有资本经营预算财政拨款收入、支出及结转和结余情况。</w:t>
            </w:r>
          </w:p>
        </w:tc>
        <w:tc>
          <w:tcPr>
            <w:tcW w:w="2664" w:type="dxa"/>
            <w:tcBorders>
              <w:top w:val="nil"/>
              <w:left w:val="nil"/>
              <w:bottom w:val="nil"/>
              <w:right w:val="nil"/>
              <w:tl2br w:val="nil"/>
              <w:tr2bl w:val="nil"/>
            </w:tcBorders>
            <w:noWrap/>
            <w:vAlign w:val="center"/>
          </w:tcPr>
          <w:p w:rsidR="00B87C8A" w:rsidRDefault="00B87C8A">
            <w:pPr>
              <w:widowControl/>
              <w:ind w:firstLine="0"/>
              <w:jc w:val="left"/>
              <w:rPr>
                <w:rFonts w:ascii="宋体" w:hAnsi="宋体" w:cs="宋体" w:hint="default"/>
                <w:color w:val="000000"/>
                <w:sz w:val="20"/>
                <w:szCs w:val="20"/>
              </w:rPr>
            </w:pPr>
          </w:p>
        </w:tc>
        <w:tc>
          <w:tcPr>
            <w:tcW w:w="3360" w:type="dxa"/>
            <w:tcBorders>
              <w:top w:val="nil"/>
              <w:left w:val="nil"/>
              <w:bottom w:val="nil"/>
              <w:right w:val="nil"/>
              <w:tl2br w:val="nil"/>
              <w:tr2bl w:val="nil"/>
            </w:tcBorders>
            <w:noWrap/>
            <w:vAlign w:val="center"/>
          </w:tcPr>
          <w:p w:rsidR="00B87C8A" w:rsidRDefault="00B87C8A">
            <w:pPr>
              <w:widowControl/>
              <w:ind w:firstLine="0"/>
              <w:jc w:val="left"/>
              <w:rPr>
                <w:rFonts w:ascii="宋体" w:hAnsi="宋体" w:cs="宋体" w:hint="default"/>
                <w:color w:val="000000"/>
                <w:sz w:val="20"/>
                <w:szCs w:val="20"/>
              </w:rPr>
            </w:pPr>
          </w:p>
        </w:tc>
      </w:tr>
      <w:tr w:rsidR="00B87C8A">
        <w:trPr>
          <w:trHeight w:val="308"/>
        </w:trPr>
        <w:tc>
          <w:tcPr>
            <w:tcW w:w="2328" w:type="dxa"/>
            <w:tcBorders>
              <w:top w:val="nil"/>
              <w:left w:val="nil"/>
              <w:bottom w:val="nil"/>
              <w:right w:val="nil"/>
              <w:tl2br w:val="nil"/>
              <w:tr2bl w:val="nil"/>
            </w:tcBorders>
            <w:noWrap/>
            <w:vAlign w:val="center"/>
          </w:tcPr>
          <w:p w:rsidR="00B87C8A" w:rsidRDefault="00B87C8A">
            <w:pPr>
              <w:widowControl/>
              <w:ind w:firstLine="0"/>
              <w:jc w:val="left"/>
              <w:rPr>
                <w:rFonts w:ascii="宋体" w:hAnsi="宋体" w:cs="宋体" w:hint="default"/>
                <w:color w:val="000000"/>
                <w:sz w:val="22"/>
              </w:rPr>
            </w:pPr>
          </w:p>
        </w:tc>
        <w:tc>
          <w:tcPr>
            <w:tcW w:w="6940" w:type="dxa"/>
            <w:gridSpan w:val="4"/>
            <w:tcBorders>
              <w:top w:val="nil"/>
              <w:left w:val="nil"/>
              <w:bottom w:val="nil"/>
              <w:right w:val="nil"/>
              <w:tl2br w:val="nil"/>
              <w:tr2bl w:val="nil"/>
            </w:tcBorders>
            <w:noWrap/>
            <w:vAlign w:val="center"/>
          </w:tcPr>
          <w:p w:rsidR="00B87C8A" w:rsidRDefault="00B87C8A">
            <w:pPr>
              <w:widowControl/>
              <w:ind w:firstLine="0"/>
              <w:jc w:val="left"/>
              <w:rPr>
                <w:rFonts w:ascii="宋体" w:hAnsi="宋体" w:cs="宋体" w:hint="default"/>
                <w:color w:val="000000"/>
                <w:sz w:val="22"/>
              </w:rPr>
            </w:pPr>
          </w:p>
        </w:tc>
        <w:tc>
          <w:tcPr>
            <w:tcW w:w="2664" w:type="dxa"/>
            <w:tcBorders>
              <w:top w:val="nil"/>
              <w:left w:val="nil"/>
              <w:bottom w:val="nil"/>
              <w:right w:val="nil"/>
              <w:tl2br w:val="nil"/>
              <w:tr2bl w:val="nil"/>
            </w:tcBorders>
            <w:noWrap/>
            <w:vAlign w:val="center"/>
          </w:tcPr>
          <w:p w:rsidR="00B87C8A" w:rsidRDefault="00B87C8A">
            <w:pPr>
              <w:widowControl/>
              <w:ind w:firstLine="0"/>
              <w:jc w:val="left"/>
              <w:rPr>
                <w:rFonts w:ascii="宋体" w:hAnsi="宋体" w:cs="宋体" w:hint="default"/>
                <w:color w:val="000000"/>
                <w:sz w:val="20"/>
                <w:szCs w:val="20"/>
              </w:rPr>
            </w:pPr>
          </w:p>
        </w:tc>
        <w:tc>
          <w:tcPr>
            <w:tcW w:w="3360" w:type="dxa"/>
            <w:tcBorders>
              <w:top w:val="nil"/>
              <w:left w:val="nil"/>
              <w:bottom w:val="nil"/>
              <w:right w:val="nil"/>
              <w:tl2br w:val="nil"/>
              <w:tr2bl w:val="nil"/>
            </w:tcBorders>
            <w:noWrap/>
            <w:vAlign w:val="center"/>
          </w:tcPr>
          <w:p w:rsidR="00B87C8A" w:rsidRDefault="00B87C8A">
            <w:pPr>
              <w:widowControl/>
              <w:ind w:firstLine="0"/>
              <w:jc w:val="left"/>
              <w:rPr>
                <w:rFonts w:ascii="宋体" w:hAnsi="宋体" w:cs="宋体" w:hint="default"/>
                <w:color w:val="000000"/>
                <w:sz w:val="20"/>
                <w:szCs w:val="20"/>
              </w:rPr>
            </w:pPr>
          </w:p>
        </w:tc>
      </w:tr>
      <w:tr w:rsidR="00B87C8A">
        <w:trPr>
          <w:trHeight w:val="308"/>
        </w:trPr>
        <w:tc>
          <w:tcPr>
            <w:tcW w:w="15292" w:type="dxa"/>
            <w:gridSpan w:val="7"/>
            <w:tcBorders>
              <w:top w:val="nil"/>
              <w:left w:val="nil"/>
              <w:bottom w:val="nil"/>
              <w:right w:val="nil"/>
              <w:tl2br w:val="nil"/>
              <w:tr2bl w:val="nil"/>
            </w:tcBorders>
            <w:noWrap/>
            <w:vAlign w:val="center"/>
          </w:tcPr>
          <w:p w:rsidR="00B87C8A" w:rsidRDefault="002D1C8A">
            <w:pPr>
              <w:widowControl/>
              <w:ind w:firstLine="0"/>
              <w:jc w:val="left"/>
              <w:textAlignment w:val="center"/>
              <w:rPr>
                <w:rFonts w:ascii="宋体" w:hAnsi="宋体" w:cs="宋体" w:hint="default"/>
                <w:color w:val="000000"/>
                <w:sz w:val="20"/>
                <w:szCs w:val="20"/>
              </w:rPr>
            </w:pPr>
            <w:r>
              <w:rPr>
                <w:rFonts w:ascii="宋体" w:hAnsi="宋体" w:cs="宋体"/>
                <w:color w:val="000000"/>
                <w:kern w:val="0"/>
                <w:sz w:val="20"/>
                <w:szCs w:val="20"/>
              </w:rPr>
              <w:t>说明：我单位没有国有资本经营收入，也没有使用国有资本经营安排的支出，故本表无数据。</w:t>
            </w:r>
          </w:p>
        </w:tc>
      </w:tr>
    </w:tbl>
    <w:p w:rsidR="00B87C8A" w:rsidRDefault="00B87C8A">
      <w:pPr>
        <w:widowControl/>
        <w:spacing w:line="600" w:lineRule="exact"/>
        <w:ind w:firstLine="0"/>
        <w:jc w:val="center"/>
        <w:rPr>
          <w:rFonts w:ascii="黑体" w:eastAsia="黑体" w:hAnsi="Times New Roman" w:cs="黑体" w:hint="default"/>
          <w:sz w:val="32"/>
          <w:szCs w:val="32"/>
        </w:rPr>
        <w:sectPr w:rsidR="00B87C8A">
          <w:pgSz w:w="16838" w:h="11906" w:orient="landscape"/>
          <w:pgMar w:top="720" w:right="873" w:bottom="720" w:left="720" w:header="720" w:footer="720" w:gutter="0"/>
          <w:cols w:space="720"/>
        </w:sectPr>
      </w:pPr>
    </w:p>
    <w:p w:rsidR="00B87C8A" w:rsidRDefault="00B87C8A">
      <w:pPr>
        <w:widowControl/>
        <w:ind w:firstLine="0"/>
        <w:jc w:val="center"/>
        <w:rPr>
          <w:rFonts w:ascii="黑体" w:eastAsia="黑体" w:hAnsi="Times New Roman" w:cs="黑体" w:hint="default"/>
          <w:sz w:val="84"/>
          <w:szCs w:val="84"/>
        </w:rPr>
      </w:pPr>
    </w:p>
    <w:p w:rsidR="00B87C8A" w:rsidRDefault="00B87C8A">
      <w:pPr>
        <w:widowControl/>
        <w:ind w:firstLine="0"/>
        <w:jc w:val="center"/>
        <w:rPr>
          <w:rFonts w:ascii="黑体" w:eastAsia="黑体" w:hAnsi="Times New Roman" w:cs="黑体" w:hint="default"/>
          <w:sz w:val="84"/>
          <w:szCs w:val="84"/>
        </w:rPr>
      </w:pPr>
    </w:p>
    <w:p w:rsidR="00B87C8A" w:rsidRDefault="00B87C8A">
      <w:pPr>
        <w:widowControl/>
        <w:ind w:firstLine="0"/>
        <w:jc w:val="center"/>
        <w:rPr>
          <w:rFonts w:ascii="黑体" w:eastAsia="黑体" w:hAnsi="Times New Roman" w:cs="黑体" w:hint="default"/>
          <w:sz w:val="56"/>
          <w:szCs w:val="56"/>
        </w:rPr>
      </w:pPr>
    </w:p>
    <w:p w:rsidR="00B87C8A" w:rsidRDefault="00B87C8A">
      <w:pPr>
        <w:widowControl/>
        <w:ind w:firstLine="0"/>
        <w:jc w:val="center"/>
        <w:rPr>
          <w:rFonts w:ascii="黑体" w:eastAsia="黑体" w:hAnsi="Times New Roman" w:cs="黑体" w:hint="default"/>
          <w:sz w:val="84"/>
          <w:szCs w:val="84"/>
        </w:rPr>
      </w:pPr>
    </w:p>
    <w:p w:rsidR="00B87C8A" w:rsidRDefault="002D1C8A">
      <w:pPr>
        <w:widowControl/>
        <w:ind w:firstLine="0"/>
        <w:jc w:val="center"/>
        <w:rPr>
          <w:rFonts w:ascii="黑体" w:eastAsia="黑体" w:hAnsi="Times New Roman" w:cs="黑体" w:hint="default"/>
          <w:sz w:val="84"/>
          <w:szCs w:val="84"/>
        </w:rPr>
      </w:pPr>
      <w:r>
        <w:rPr>
          <w:rFonts w:ascii="黑体" w:eastAsia="黑体" w:hAnsi="Times New Roman" w:cs="黑体"/>
          <w:sz w:val="84"/>
          <w:szCs w:val="84"/>
        </w:rPr>
        <w:t>第三部分</w:t>
      </w:r>
    </w:p>
    <w:p w:rsidR="00B87C8A" w:rsidRDefault="002D1C8A" w:rsidP="003F0F38">
      <w:pPr>
        <w:widowControl/>
        <w:spacing w:beforeLines="100"/>
        <w:ind w:firstLine="0"/>
        <w:jc w:val="center"/>
        <w:rPr>
          <w:rFonts w:ascii="宋体" w:hint="default"/>
          <w:kern w:val="0"/>
          <w:sz w:val="84"/>
          <w:szCs w:val="84"/>
        </w:rPr>
      </w:pPr>
      <w:r>
        <w:rPr>
          <w:rFonts w:ascii="黑体" w:eastAsia="黑体" w:hAnsi="Times New Roman" w:cs="黑体"/>
          <w:sz w:val="84"/>
          <w:szCs w:val="84"/>
          <w:lang w:val="zh-CN"/>
        </w:rPr>
        <w:t>吉首大学</w:t>
      </w:r>
      <w:r>
        <w:rPr>
          <w:rFonts w:ascii="黑体" w:eastAsia="黑体" w:hAnsi="Times New Roman" w:cs="黑体"/>
          <w:sz w:val="84"/>
          <w:szCs w:val="84"/>
        </w:rPr>
        <w:t>2021年度部门决算情况说明</w:t>
      </w:r>
    </w:p>
    <w:p w:rsidR="00B87C8A" w:rsidRDefault="00B87C8A">
      <w:pPr>
        <w:widowControl/>
        <w:ind w:firstLine="0"/>
        <w:rPr>
          <w:rFonts w:ascii="黑体" w:eastAsia="黑体" w:hAnsi="Times New Roman" w:cs="黑体" w:hint="default"/>
          <w:sz w:val="32"/>
          <w:szCs w:val="32"/>
          <w:lang w:val="zh-CN"/>
        </w:rPr>
        <w:sectPr w:rsidR="00B87C8A">
          <w:pgSz w:w="12240" w:h="15840"/>
          <w:pgMar w:top="1440" w:right="1800" w:bottom="1440" w:left="1800" w:header="720" w:footer="720" w:gutter="0"/>
          <w:cols w:space="720"/>
        </w:sectPr>
      </w:pPr>
    </w:p>
    <w:p w:rsidR="00B87C8A" w:rsidRDefault="002D1C8A">
      <w:pPr>
        <w:widowControl/>
        <w:spacing w:line="360" w:lineRule="auto"/>
        <w:ind w:firstLineChars="200" w:firstLine="640"/>
        <w:rPr>
          <w:rFonts w:ascii="宋体" w:hint="default"/>
          <w:kern w:val="0"/>
          <w:sz w:val="32"/>
          <w:szCs w:val="32"/>
        </w:rPr>
      </w:pPr>
      <w:r>
        <w:rPr>
          <w:rFonts w:ascii="黑体" w:eastAsia="黑体" w:hAnsi="Times New Roman" w:cs="黑体"/>
          <w:sz w:val="32"/>
          <w:szCs w:val="32"/>
          <w:lang w:val="zh-CN"/>
        </w:rPr>
        <w:lastRenderedPageBreak/>
        <w:t>一、收入支出决算总体情况说明</w:t>
      </w:r>
    </w:p>
    <w:p w:rsidR="00B87C8A" w:rsidRDefault="002D1C8A">
      <w:pPr>
        <w:widowControl/>
        <w:spacing w:line="360" w:lineRule="auto"/>
        <w:ind w:firstLineChars="200" w:firstLine="560"/>
        <w:rPr>
          <w:rFonts w:ascii="宋体" w:hint="default"/>
          <w:kern w:val="0"/>
          <w:sz w:val="32"/>
          <w:szCs w:val="32"/>
        </w:rPr>
      </w:pPr>
      <w:r>
        <w:rPr>
          <w:rFonts w:ascii="宋体" w:hAnsi="宋体" w:cs="宋体"/>
          <w:sz w:val="28"/>
          <w:szCs w:val="28"/>
          <w:lang w:val="zh-CN"/>
        </w:rPr>
        <w:t>2021年度收、支（含结转和结余）总计均为78776.81万元，与2020年相比，收、支总计各增加19629.18万元，增长33.19%</w:t>
      </w:r>
      <w:r w:rsidR="003F0F38">
        <w:rPr>
          <w:rFonts w:ascii="宋体" w:hAnsi="宋体" w:cs="宋体"/>
          <w:sz w:val="28"/>
          <w:szCs w:val="28"/>
          <w:lang w:val="zh-CN"/>
        </w:rPr>
        <w:t>。主要原因是三本独立学院转设</w:t>
      </w:r>
      <w:r>
        <w:rPr>
          <w:rFonts w:ascii="宋体" w:hAnsi="宋体" w:cs="宋体"/>
          <w:sz w:val="28"/>
          <w:szCs w:val="28"/>
          <w:lang w:val="zh-CN"/>
        </w:rPr>
        <w:t>资金17065万元以国库指标形式划拨到账；2020年受疫情影响，学生在9月份后才返校学习，住宿费收入、国有资源有偿使用收入及其他经费拨款较2021年减少。</w:t>
      </w:r>
    </w:p>
    <w:p w:rsidR="00B87C8A" w:rsidRDefault="002D1C8A">
      <w:pPr>
        <w:widowControl/>
        <w:spacing w:line="360" w:lineRule="auto"/>
        <w:ind w:firstLineChars="200" w:firstLine="640"/>
        <w:rPr>
          <w:rFonts w:ascii="宋体" w:hint="default"/>
          <w:kern w:val="0"/>
          <w:sz w:val="32"/>
          <w:szCs w:val="32"/>
        </w:rPr>
      </w:pPr>
      <w:r>
        <w:rPr>
          <w:rFonts w:ascii="黑体" w:eastAsia="黑体" w:hAnsi="Times New Roman" w:cs="黑体"/>
          <w:sz w:val="32"/>
          <w:szCs w:val="32"/>
        </w:rPr>
        <w:t>二、收入决算情况说明</w:t>
      </w:r>
    </w:p>
    <w:p w:rsidR="00B87C8A" w:rsidRPr="002D1C8A" w:rsidRDefault="002D1C8A" w:rsidP="002D1C8A">
      <w:pPr>
        <w:widowControl/>
        <w:spacing w:line="360" w:lineRule="auto"/>
        <w:ind w:firstLineChars="200" w:firstLine="560"/>
        <w:rPr>
          <w:rFonts w:ascii="宋体" w:hAnsi="宋体" w:cs="宋体" w:hint="default"/>
          <w:sz w:val="28"/>
          <w:szCs w:val="28"/>
          <w:lang w:val="zh-CN"/>
        </w:rPr>
      </w:pPr>
      <w:r w:rsidRPr="002D1C8A">
        <w:rPr>
          <w:rFonts w:ascii="宋体" w:hAnsi="宋体" w:cs="宋体"/>
          <w:sz w:val="28"/>
          <w:szCs w:val="28"/>
          <w:lang w:val="zh-CN"/>
        </w:rPr>
        <w:t>2021年度收入合计70096.6万元，其中：一般公共预算财政拨款收入54107.59万元，占77.19%；事业收入13125.34万元，</w:t>
      </w:r>
      <w:r w:rsidRPr="003F0F38">
        <w:rPr>
          <w:rFonts w:ascii="宋体" w:hAnsi="宋体" w:cs="宋体"/>
          <w:sz w:val="28"/>
          <w:szCs w:val="28"/>
          <w:lang w:val="zh-CN"/>
        </w:rPr>
        <w:t>占</w:t>
      </w:r>
      <w:r w:rsidR="003F0F38" w:rsidRPr="003F0F38">
        <w:rPr>
          <w:rFonts w:ascii="宋体" w:hAnsi="宋体" w:cs="宋体"/>
          <w:sz w:val="28"/>
          <w:szCs w:val="28"/>
          <w:lang w:val="zh-CN"/>
        </w:rPr>
        <w:t>18.72</w:t>
      </w:r>
      <w:r w:rsidRPr="003F0F38">
        <w:rPr>
          <w:rFonts w:ascii="宋体" w:hAnsi="宋体" w:cs="宋体"/>
          <w:sz w:val="28"/>
          <w:szCs w:val="28"/>
          <w:lang w:val="zh-CN"/>
        </w:rPr>
        <w:t>%</w:t>
      </w:r>
      <w:r w:rsidRPr="002D1C8A">
        <w:rPr>
          <w:rFonts w:ascii="宋体" w:hAnsi="宋体" w:cs="宋体"/>
          <w:sz w:val="28"/>
          <w:szCs w:val="28"/>
          <w:lang w:val="zh-CN"/>
        </w:rPr>
        <w:t>；其他收入2863.67万元，占4.09%。</w:t>
      </w:r>
    </w:p>
    <w:p w:rsidR="00B87C8A" w:rsidRDefault="002D1C8A">
      <w:pPr>
        <w:widowControl/>
        <w:spacing w:line="360" w:lineRule="auto"/>
        <w:ind w:firstLineChars="200" w:firstLine="640"/>
        <w:rPr>
          <w:rFonts w:ascii="黑体" w:eastAsia="黑体" w:hAnsi="Times New Roman" w:cs="黑体" w:hint="default"/>
          <w:sz w:val="32"/>
          <w:szCs w:val="32"/>
        </w:rPr>
      </w:pPr>
      <w:r>
        <w:rPr>
          <w:rFonts w:ascii="黑体" w:eastAsia="黑体" w:hAnsi="Times New Roman" w:cs="黑体"/>
          <w:sz w:val="32"/>
          <w:szCs w:val="32"/>
        </w:rPr>
        <w:t>三、支出决算情况说明</w:t>
      </w:r>
    </w:p>
    <w:p w:rsidR="00B87C8A" w:rsidRPr="002D1C8A" w:rsidRDefault="002D1C8A" w:rsidP="002D1C8A">
      <w:pPr>
        <w:widowControl/>
        <w:spacing w:line="360" w:lineRule="auto"/>
        <w:ind w:firstLineChars="200" w:firstLine="560"/>
        <w:rPr>
          <w:rFonts w:ascii="宋体" w:hint="default"/>
          <w:kern w:val="0"/>
          <w:sz w:val="28"/>
          <w:szCs w:val="28"/>
        </w:rPr>
      </w:pPr>
      <w:r w:rsidRPr="002D1C8A">
        <w:rPr>
          <w:rFonts w:ascii="宋体" w:hAnsi="Times New Roman" w:cs="宋体"/>
          <w:sz w:val="28"/>
          <w:szCs w:val="28"/>
        </w:rPr>
        <w:t>2021年度支出合计60963.33万元，其中：基本支出</w:t>
      </w:r>
      <w:r w:rsidRPr="002D1C8A">
        <w:rPr>
          <w:rFonts w:ascii="宋体" w:hAnsi="Times New Roman" w:cs="宋体"/>
          <w:sz w:val="28"/>
          <w:szCs w:val="28"/>
          <w:lang w:val="zh-CN"/>
        </w:rPr>
        <w:t>39389.1万元，</w:t>
      </w:r>
      <w:r w:rsidRPr="002D1C8A">
        <w:rPr>
          <w:rFonts w:ascii="宋体" w:hAnsi="Times New Roman" w:cs="宋体"/>
          <w:sz w:val="28"/>
          <w:szCs w:val="28"/>
        </w:rPr>
        <w:t>占64.61%；项目支出21574.23万元，占35.39%。</w:t>
      </w:r>
    </w:p>
    <w:p w:rsidR="00B87C8A" w:rsidRDefault="002D1C8A">
      <w:pPr>
        <w:widowControl/>
        <w:spacing w:line="360" w:lineRule="auto"/>
        <w:ind w:firstLineChars="200" w:firstLine="640"/>
        <w:rPr>
          <w:rFonts w:ascii="宋体" w:hint="default"/>
          <w:kern w:val="0"/>
          <w:sz w:val="32"/>
          <w:szCs w:val="32"/>
        </w:rPr>
      </w:pPr>
      <w:r>
        <w:rPr>
          <w:rFonts w:ascii="黑体" w:eastAsia="黑体" w:hAnsi="Times New Roman" w:cs="黑体"/>
          <w:sz w:val="32"/>
          <w:szCs w:val="32"/>
        </w:rPr>
        <w:t xml:space="preserve">四、财政拨款收入支出决算总体情况说明 </w:t>
      </w:r>
    </w:p>
    <w:p w:rsidR="00B87C8A" w:rsidRPr="002D1C8A" w:rsidRDefault="002D1C8A" w:rsidP="002D1C8A">
      <w:pPr>
        <w:widowControl/>
        <w:spacing w:line="360" w:lineRule="auto"/>
        <w:ind w:firstLineChars="200" w:firstLine="560"/>
        <w:rPr>
          <w:rFonts w:ascii="宋体" w:hint="default"/>
          <w:kern w:val="0"/>
          <w:sz w:val="28"/>
          <w:szCs w:val="28"/>
        </w:rPr>
      </w:pPr>
      <w:r w:rsidRPr="002D1C8A">
        <w:rPr>
          <w:rFonts w:ascii="宋体" w:hAnsi="Times New Roman" w:cs="宋体"/>
          <w:sz w:val="28"/>
          <w:szCs w:val="28"/>
        </w:rPr>
        <w:t>2021年度财政拨款收、支</w:t>
      </w:r>
      <w:r w:rsidRPr="002D1C8A">
        <w:rPr>
          <w:rFonts w:ascii="宋体" w:hAnsi="宋体" w:cs="宋体"/>
          <w:sz w:val="28"/>
          <w:szCs w:val="28"/>
          <w:lang w:val="zh-CN"/>
        </w:rPr>
        <w:t>（含结转和结余）</w:t>
      </w:r>
      <w:r w:rsidRPr="002D1C8A">
        <w:rPr>
          <w:rFonts w:ascii="宋体" w:hAnsi="Times New Roman" w:cs="宋体"/>
          <w:sz w:val="28"/>
          <w:szCs w:val="28"/>
        </w:rPr>
        <w:t>总计均为55028.4万元，</w:t>
      </w:r>
      <w:r w:rsidRPr="002D1C8A">
        <w:rPr>
          <w:rFonts w:ascii="宋体" w:hAnsi="Times New Roman" w:cs="宋体"/>
          <w:sz w:val="28"/>
          <w:szCs w:val="28"/>
          <w:lang w:val="zh-CN"/>
        </w:rPr>
        <w:t>与2020年相比，</w:t>
      </w:r>
      <w:r w:rsidRPr="002D1C8A">
        <w:rPr>
          <w:rFonts w:ascii="宋体" w:hAnsi="Times New Roman" w:cs="宋体"/>
          <w:sz w:val="28"/>
          <w:szCs w:val="28"/>
        </w:rPr>
        <w:t>财政拨款收、支总计各增加17342.79万元，增长46.02%。</w:t>
      </w:r>
      <w:r w:rsidRPr="002D1C8A">
        <w:rPr>
          <w:rFonts w:ascii="宋体" w:hAnsi="Times New Roman" w:cs="宋体"/>
          <w:sz w:val="28"/>
          <w:szCs w:val="28"/>
          <w:lang w:val="zh-CN"/>
        </w:rPr>
        <w:t>主要原因是</w:t>
      </w:r>
      <w:r w:rsidR="003F0F38">
        <w:rPr>
          <w:rFonts w:ascii="宋体" w:hAnsi="宋体" w:cs="宋体"/>
          <w:sz w:val="28"/>
          <w:szCs w:val="28"/>
          <w:lang w:val="zh-CN"/>
        </w:rPr>
        <w:t>三本独立学院转设</w:t>
      </w:r>
      <w:r w:rsidRPr="002D1C8A">
        <w:rPr>
          <w:rFonts w:ascii="宋体" w:hAnsi="宋体" w:cs="宋体"/>
          <w:sz w:val="28"/>
          <w:szCs w:val="28"/>
          <w:lang w:val="zh-CN"/>
        </w:rPr>
        <w:t>资金17065万元以国库指标形式划拨到账</w:t>
      </w:r>
      <w:r w:rsidRPr="002D1C8A">
        <w:rPr>
          <w:rFonts w:ascii="宋体" w:hAnsi="Times New Roman" w:cs="宋体"/>
          <w:sz w:val="28"/>
          <w:szCs w:val="28"/>
          <w:lang w:val="zh-CN"/>
        </w:rPr>
        <w:t>。</w:t>
      </w:r>
    </w:p>
    <w:p w:rsidR="00B87C8A" w:rsidRDefault="002D1C8A">
      <w:pPr>
        <w:widowControl/>
        <w:spacing w:line="360" w:lineRule="auto"/>
        <w:ind w:firstLineChars="200" w:firstLine="640"/>
        <w:rPr>
          <w:rFonts w:ascii="宋体" w:hint="default"/>
          <w:kern w:val="0"/>
          <w:sz w:val="32"/>
          <w:szCs w:val="32"/>
        </w:rPr>
      </w:pPr>
      <w:r>
        <w:rPr>
          <w:rFonts w:ascii="黑体" w:eastAsia="黑体" w:hAnsi="Times New Roman" w:cs="黑体"/>
          <w:sz w:val="32"/>
          <w:szCs w:val="32"/>
        </w:rPr>
        <w:t>五、一般公共预算财政拨款支出决算情况说明</w:t>
      </w:r>
    </w:p>
    <w:p w:rsidR="00B87C8A" w:rsidRDefault="002D1C8A">
      <w:pPr>
        <w:widowControl/>
        <w:spacing w:line="360" w:lineRule="auto"/>
        <w:ind w:firstLineChars="200" w:firstLine="562"/>
        <w:rPr>
          <w:rFonts w:ascii="宋体" w:hint="default"/>
          <w:kern w:val="0"/>
          <w:sz w:val="28"/>
          <w:szCs w:val="28"/>
        </w:rPr>
      </w:pPr>
      <w:r>
        <w:rPr>
          <w:rFonts w:ascii="宋体" w:hAnsi="Times New Roman" w:cs="宋体"/>
          <w:b/>
          <w:sz w:val="28"/>
          <w:szCs w:val="28"/>
        </w:rPr>
        <w:t>（一）</w:t>
      </w:r>
      <w:r>
        <w:rPr>
          <w:rFonts w:ascii="宋体" w:hAnsi="Times New Roman" w:cs="宋体"/>
          <w:b/>
          <w:sz w:val="28"/>
          <w:szCs w:val="28"/>
          <w:lang w:val="zh-CN"/>
        </w:rPr>
        <w:t>财政</w:t>
      </w:r>
      <w:r>
        <w:rPr>
          <w:rFonts w:ascii="宋体" w:hAnsi="Times New Roman" w:cs="宋体"/>
          <w:b/>
          <w:sz w:val="28"/>
          <w:szCs w:val="28"/>
        </w:rPr>
        <w:t>拨款支出决算总体情况</w:t>
      </w:r>
    </w:p>
    <w:p w:rsidR="00B87C8A" w:rsidRPr="002D1C8A" w:rsidRDefault="002D1C8A" w:rsidP="002D1C8A">
      <w:pPr>
        <w:widowControl/>
        <w:spacing w:line="360" w:lineRule="auto"/>
        <w:ind w:firstLineChars="200" w:firstLine="560"/>
        <w:rPr>
          <w:rFonts w:ascii="宋体" w:hint="default"/>
          <w:kern w:val="0"/>
          <w:sz w:val="28"/>
          <w:szCs w:val="28"/>
        </w:rPr>
      </w:pPr>
      <w:r w:rsidRPr="002D1C8A">
        <w:rPr>
          <w:rFonts w:ascii="宋体" w:hAnsi="Times New Roman" w:cs="宋体"/>
          <w:sz w:val="28"/>
          <w:szCs w:val="28"/>
        </w:rPr>
        <w:t>2021年度财政拨款支出37214.92万元，占本年支出合计的61.04%。与2020年度相比，财政拨款支出增加515万元，增长1.4%,主要原因是2021年度教学、教辅及科研活动正常开展，相关支出增加，而2020年9月份</w:t>
      </w:r>
      <w:r w:rsidRPr="002D1C8A">
        <w:rPr>
          <w:rFonts w:ascii="宋体" w:hAnsi="宋体" w:cs="宋体"/>
          <w:sz w:val="28"/>
          <w:szCs w:val="28"/>
          <w:lang w:val="zh-CN"/>
        </w:rPr>
        <w:t>学生才返校学习，许多教学及科研活动在线上开展</w:t>
      </w:r>
      <w:r w:rsidRPr="002D1C8A">
        <w:rPr>
          <w:rFonts w:ascii="宋体" w:hAnsi="Times New Roman" w:cs="宋体"/>
          <w:sz w:val="28"/>
          <w:szCs w:val="28"/>
        </w:rPr>
        <w:t>。</w:t>
      </w:r>
    </w:p>
    <w:p w:rsidR="00B87C8A" w:rsidRPr="002D1C8A" w:rsidRDefault="002D1C8A">
      <w:pPr>
        <w:widowControl/>
        <w:spacing w:line="360" w:lineRule="auto"/>
        <w:ind w:firstLineChars="200" w:firstLine="562"/>
        <w:rPr>
          <w:rFonts w:ascii="宋体" w:hint="default"/>
          <w:kern w:val="0"/>
          <w:sz w:val="28"/>
          <w:szCs w:val="28"/>
        </w:rPr>
      </w:pPr>
      <w:r w:rsidRPr="002D1C8A">
        <w:rPr>
          <w:rFonts w:ascii="宋体" w:hAnsi="Times New Roman" w:cs="宋体"/>
          <w:b/>
          <w:sz w:val="28"/>
          <w:szCs w:val="28"/>
        </w:rPr>
        <w:lastRenderedPageBreak/>
        <w:t>（二）财政拨款支出决算结构情况</w:t>
      </w:r>
    </w:p>
    <w:p w:rsidR="00B87C8A" w:rsidRPr="002D1C8A" w:rsidRDefault="002D1C8A" w:rsidP="002D1C8A">
      <w:pPr>
        <w:widowControl/>
        <w:spacing w:line="360" w:lineRule="auto"/>
        <w:ind w:firstLineChars="200" w:firstLine="560"/>
        <w:rPr>
          <w:rFonts w:ascii="宋体" w:hint="default"/>
          <w:kern w:val="0"/>
          <w:sz w:val="28"/>
          <w:szCs w:val="28"/>
        </w:rPr>
      </w:pPr>
      <w:r w:rsidRPr="002D1C8A">
        <w:rPr>
          <w:rFonts w:ascii="宋体" w:hAnsi="Times New Roman" w:cs="宋体"/>
          <w:kern w:val="0"/>
          <w:sz w:val="28"/>
          <w:szCs w:val="28"/>
        </w:rPr>
        <w:t>2021年度财政拨款支出37214.92万元，主要用于以下方面：一般公共服务（类）支出56.89万元，占0.15%；教育（类）支出31788.52万元，占85.42%；科学技术（类）支出480.2万元，占1.29%；文化旅游体育与传媒（类）支出50万元，占0.13%；社会保障和就业（类）支出3184.6万元，占8.56%；卫生健康（类）支出253.2万元，占0.68%；住房保障（类）支出1401.52万元，占3.77%；</w:t>
      </w:r>
    </w:p>
    <w:p w:rsidR="00B87C8A" w:rsidRPr="002D1C8A" w:rsidRDefault="002D1C8A">
      <w:pPr>
        <w:widowControl/>
        <w:spacing w:line="360" w:lineRule="auto"/>
        <w:ind w:firstLineChars="200" w:firstLine="562"/>
        <w:rPr>
          <w:rFonts w:ascii="宋体" w:hint="default"/>
          <w:kern w:val="0"/>
          <w:sz w:val="28"/>
          <w:szCs w:val="28"/>
        </w:rPr>
      </w:pPr>
      <w:r w:rsidRPr="002D1C8A">
        <w:rPr>
          <w:rFonts w:ascii="宋体" w:cs="宋体"/>
          <w:b/>
          <w:sz w:val="28"/>
          <w:szCs w:val="28"/>
        </w:rPr>
        <w:t>（三）财政拨款支出决算具体情况</w:t>
      </w:r>
    </w:p>
    <w:p w:rsidR="00B87C8A" w:rsidRPr="002D1C8A" w:rsidRDefault="002D1C8A" w:rsidP="002D1C8A">
      <w:pPr>
        <w:widowControl/>
        <w:spacing w:line="360" w:lineRule="auto"/>
        <w:ind w:firstLineChars="200" w:firstLine="560"/>
        <w:rPr>
          <w:rFonts w:ascii="宋体" w:hint="default"/>
          <w:kern w:val="0"/>
          <w:sz w:val="28"/>
          <w:szCs w:val="28"/>
        </w:rPr>
      </w:pPr>
      <w:r w:rsidRPr="002D1C8A">
        <w:rPr>
          <w:rFonts w:ascii="宋体" w:cs="宋体"/>
          <w:sz w:val="28"/>
          <w:szCs w:val="28"/>
          <w:lang w:val="zh-CN"/>
        </w:rPr>
        <w:t>2021年度财政拨款支出年初预算为27609.5万元，支出决算为37214.92万元，</w:t>
      </w:r>
      <w:r w:rsidRPr="002D1C8A">
        <w:rPr>
          <w:rFonts w:ascii="宋体" w:hAnsi="宋体" w:cs="宋体"/>
          <w:sz w:val="28"/>
          <w:szCs w:val="28"/>
        </w:rPr>
        <w:t>因年中有财政拨款追加，所以年初预算执行率超过100%</w:t>
      </w:r>
      <w:r w:rsidRPr="002D1C8A">
        <w:rPr>
          <w:rFonts w:ascii="宋体" w:hAnsi="宋体" w:cs="宋体"/>
          <w:sz w:val="28"/>
          <w:szCs w:val="28"/>
          <w:lang w:val="zh-CN"/>
        </w:rPr>
        <w:t>。其中：</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1、一般公共服务（类）发展与改革事务（款）其他发展与改革事务支出（项）。</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年初预算为5.39万元，支出决算为5.39万元，年初预算执行率100%。</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2、一般公共服务（类）民族事务（款）民族工作专项（项）。</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年初预算为0万元，支出决算为50万元，决算数大于年初预算数的主要原因是：该项经费于年中追加。</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3、一般公共服务支出（类）群众团体事务（款）一般行政管理事务（项）</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年初预算为0万元，支出决算为1.5万元，决算数大于年初预算数的主要原因是：该项经费于年中追加。</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4、教育支出（类）普通教育（款）高等教育（项）</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年初预算为22867.59万元，支出决算为31788.52万元，决算数大于年初预算数的主要原因是：年中追加“十四五”基建专项、中央支持地</w:t>
      </w:r>
      <w:r w:rsidRPr="002D1C8A">
        <w:rPr>
          <w:rFonts w:ascii="宋体" w:eastAsia="宋体" w:hAnsi="宋体"/>
          <w:color w:val="auto"/>
          <w:sz w:val="28"/>
          <w:szCs w:val="28"/>
        </w:rPr>
        <w:lastRenderedPageBreak/>
        <w:t>方高校建设专项、高校学生奖助学金、教育部预科生培养经费及其他财政专项经费。</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5、科学技术支出（类）基础研究（款）自然科学基金（项）</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年初预算为0万元，支出决算为115万元，决算数大于年初预算数的主要原因是：该项经费于年中追加。</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6、科学技术支出（类）应用研究（款）高技术研究（项）</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年初预算为50万元，支出决算为100万元，决算数大于年初预算数的主要原因是：该项经费于年中追加。</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7、科学技术支出（类）科技条件与服务（款）其他科技条件与服务支出（项）</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年初预算为20万元，支出决算为20万元，年初预算执行率100%。</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8、科学技术支出（类）社会科学（款）其他社会科学支出（项）</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年初预算为0万元，支出决算为145.2万元，决算数大于年初预算数的主要原因是：该项经费于年中追加。</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9、科学技术支出（类）科学技术普及（款）科普活动（项）</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年初预算为10万元，支出决算为10万元，年初预算执行率100%。</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10、科学技术支出（类）科学技术普及（款）其他科学技术普及支出（项）</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年初预算为0万元，支出决算为5万元，决算数大于年初预算数的主要原因是：该项经费于年中追加。</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11、科学技术支出（类）科技重大项目（款）重点研发计划（项）</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年初预算为50万元，支出决算为50万元，年初预算执行率100%。</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12、科学技术支出（类）其他科学技术支出（款）科技奖励（项）</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年初预算为0万元，支出决算为35万元，决算数大于年初预算数的</w:t>
      </w:r>
      <w:r w:rsidRPr="002D1C8A">
        <w:rPr>
          <w:rFonts w:ascii="宋体" w:eastAsia="宋体" w:hAnsi="宋体"/>
          <w:color w:val="auto"/>
          <w:sz w:val="28"/>
          <w:szCs w:val="28"/>
        </w:rPr>
        <w:lastRenderedPageBreak/>
        <w:t>主要原因是：该项经费于年中追加。</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13、文化旅游体育与传媒支出（类）文化和旅游（款）其他文化和旅游支出（项）</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年初预算为50万元，支出决算为50万元，年初预算执行率100%。</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14、社会保障和就业支出（类）行政事业单位养老支出（款）机关事业单位基本养老保险缴费支出（项）</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 xml:space="preserve">年初预算为3155万元，支出决算为3155万元，实际预算执行率100%。 </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15、社会保障和就业支出（类）就业补助（款）其他就业补助支出（项）</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年初预算为0万元，支出决算为29.6万元，决算数大于年初预算数的主要原因是：该项经费于年中追加。</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16、卫生健康支出（类）公共卫生（款）重大公共卫生服务（项）</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年初预算为0万元，支出决算为188万元，决算数大于年初预算数的主要原因是：该项经费于年中追加。</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17、卫生健康支出（类）公共卫生（款）其他公共卫生支出（项）</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年初预算为0万元，支出决算为63.2万元，决算数大于年初预算数的主要原因是：该项经费于年中追加。</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18、卫生健康支出（类）中医药（款）中医（民族医）药专项（项）</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年初预算为0万元，支出决算为2万元，决算数大于年初预算数的主要原因是：该项经费于年中追加。</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19、住房保障支出（类）住房改革支出（款）住房公积金（项）</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年初预算为1401.52万元，支出决算为1401.52万元，年初预算执行率100%。</w:t>
      </w:r>
    </w:p>
    <w:p w:rsidR="00B87C8A" w:rsidRDefault="002D1C8A">
      <w:pPr>
        <w:pStyle w:val="Default"/>
        <w:spacing w:line="360" w:lineRule="auto"/>
        <w:ind w:firstLineChars="200" w:firstLine="640"/>
        <w:rPr>
          <w:rFonts w:hint="default"/>
          <w:color w:val="auto"/>
          <w:sz w:val="32"/>
          <w:szCs w:val="32"/>
        </w:rPr>
      </w:pPr>
      <w:r>
        <w:rPr>
          <w:color w:val="auto"/>
          <w:sz w:val="32"/>
          <w:szCs w:val="32"/>
        </w:rPr>
        <w:t>六、一般公共预算财政拨款基本支出决算情况说明</w:t>
      </w:r>
    </w:p>
    <w:p w:rsidR="00B87C8A" w:rsidRDefault="002D1C8A">
      <w:pPr>
        <w:pStyle w:val="Default"/>
        <w:spacing w:line="360" w:lineRule="auto"/>
        <w:ind w:firstLineChars="200" w:firstLine="560"/>
        <w:rPr>
          <w:rFonts w:ascii="宋体" w:eastAsia="宋体" w:hAnsi="Times New Roman" w:cs="宋体" w:hint="default"/>
          <w:color w:val="auto"/>
          <w:sz w:val="32"/>
          <w:szCs w:val="32"/>
        </w:rPr>
      </w:pPr>
      <w:r>
        <w:rPr>
          <w:rFonts w:ascii="宋体" w:eastAsia="宋体" w:hAnsi="宋体"/>
          <w:color w:val="auto"/>
          <w:sz w:val="28"/>
          <w:szCs w:val="28"/>
        </w:rPr>
        <w:lastRenderedPageBreak/>
        <w:t>2021年度财政拨款基本支出25701.46万元，其中:人员经费24209.22万元，占基本支出的94.19%，主要包括基本工资、津贴补贴、伙食补助费、绩效工资、机关事业单位基本养老保险缴费、职工基本医疗保险缴费、其他社会保障缴费、住房公积金、其他工资福利支出、离休费、抚恤金、生活补助、医疗费补助、其他对个人和家庭的补助；公用经费1492.24万元，占基本支出的5.81%，主要包括办公费、印刷费、邮电费、物业管理费、差旅费、公务接待费、专用材料费、劳务费、委托业务费、其他交通费用、其他商品和服务支出。</w:t>
      </w:r>
    </w:p>
    <w:p w:rsidR="00B87C8A" w:rsidRDefault="002D1C8A">
      <w:pPr>
        <w:pStyle w:val="Default"/>
        <w:spacing w:line="360" w:lineRule="auto"/>
        <w:ind w:firstLineChars="200" w:firstLine="640"/>
        <w:rPr>
          <w:rFonts w:hint="default"/>
          <w:color w:val="auto"/>
          <w:sz w:val="32"/>
          <w:szCs w:val="32"/>
          <w:lang w:val="zh-CN"/>
        </w:rPr>
      </w:pPr>
      <w:r>
        <w:rPr>
          <w:rFonts w:hAnsi="Times New Roman"/>
          <w:color w:val="auto"/>
          <w:sz w:val="32"/>
          <w:szCs w:val="32"/>
          <w:lang w:val="zh-CN"/>
        </w:rPr>
        <w:t>七、一般公共预算财政拨款</w:t>
      </w:r>
      <w:r>
        <w:rPr>
          <w:rFonts w:ascii="Calibri" w:cs="Calibri" w:hint="default"/>
          <w:color w:val="auto"/>
          <w:sz w:val="32"/>
          <w:szCs w:val="32"/>
          <w:lang w:val="zh-CN"/>
        </w:rPr>
        <w:t>“</w:t>
      </w:r>
      <w:r>
        <w:rPr>
          <w:color w:val="auto"/>
          <w:sz w:val="32"/>
          <w:szCs w:val="32"/>
          <w:lang w:val="zh-CN"/>
        </w:rPr>
        <w:t>三公</w:t>
      </w:r>
      <w:r>
        <w:rPr>
          <w:rFonts w:ascii="Calibri" w:cs="Calibri" w:hint="default"/>
          <w:color w:val="auto"/>
          <w:sz w:val="32"/>
          <w:szCs w:val="32"/>
          <w:lang w:val="zh-CN"/>
        </w:rPr>
        <w:t>”</w:t>
      </w:r>
      <w:r>
        <w:rPr>
          <w:color w:val="auto"/>
          <w:sz w:val="32"/>
          <w:szCs w:val="32"/>
          <w:lang w:val="zh-CN"/>
        </w:rPr>
        <w:t>经费支出决算情况说明</w:t>
      </w:r>
    </w:p>
    <w:p w:rsidR="00B87C8A" w:rsidRDefault="002D1C8A">
      <w:pPr>
        <w:pStyle w:val="Default"/>
        <w:spacing w:line="360" w:lineRule="auto"/>
        <w:ind w:firstLineChars="200" w:firstLine="562"/>
        <w:rPr>
          <w:rFonts w:ascii="宋体" w:eastAsia="宋体" w:hAnsi="宋体" w:cs="宋体" w:hint="default"/>
          <w:b/>
          <w:color w:val="auto"/>
          <w:sz w:val="28"/>
          <w:szCs w:val="28"/>
          <w:lang w:val="zh-CN"/>
        </w:rPr>
      </w:pPr>
      <w:r>
        <w:rPr>
          <w:rFonts w:ascii="宋体" w:eastAsia="宋体" w:hAnsi="宋体" w:cs="宋体"/>
          <w:b/>
          <w:color w:val="auto"/>
          <w:sz w:val="28"/>
          <w:szCs w:val="28"/>
          <w:lang w:val="zh-CN"/>
        </w:rPr>
        <w:t>（一）“三公”经费财政拨款支出决算总体情况说明</w:t>
      </w:r>
    </w:p>
    <w:p w:rsidR="00B87C8A" w:rsidRDefault="002D1C8A">
      <w:pPr>
        <w:pStyle w:val="Default"/>
        <w:spacing w:line="360" w:lineRule="auto"/>
        <w:ind w:firstLineChars="200" w:firstLine="560"/>
        <w:rPr>
          <w:rFonts w:ascii="宋体" w:eastAsia="宋体" w:hAnsi="Times New Roman" w:cs="宋体" w:hint="default"/>
          <w:color w:val="auto"/>
          <w:sz w:val="32"/>
          <w:szCs w:val="32"/>
        </w:rPr>
      </w:pPr>
      <w:r>
        <w:rPr>
          <w:rFonts w:ascii="宋体" w:eastAsia="宋体" w:hAnsi="宋体"/>
          <w:color w:val="auto"/>
          <w:sz w:val="28"/>
          <w:szCs w:val="28"/>
        </w:rPr>
        <w:t>2021年度“三公”经费财政拨款支出预算为58万元，支出决算为18万元,完成预算的31.03%，其中：因公出国（境）费支出预算为40万元，支出决算为0万元,国外疫情严重，原计划出国交流考察的行程全部取消；公务用车购置费及运行维护费支出预算为0万元，支出决算为0万元，与上年情况一致，无公务用车购置费及运行维护费支出预算与决算；公务接待费支出预算为18万元，支出决算为18万元,完成预算的100%,  决算数与预算数一致，我单位严格按预算执行决算，与上年相比增加3万元，增长20%,增长的主要原因是2021年国内疫情控制较好，教学及科研的合作交流增多，一般公共预算财政拨款支出的接待费较上年增加，但是全口径统计的接待费支出决算数较上年是减少的。我校严格贯彻落实中央“八项规定”精神和厉行节约要求，从严控制“三公”经费开支。</w:t>
      </w:r>
    </w:p>
    <w:p w:rsidR="00B87C8A" w:rsidRDefault="002D1C8A">
      <w:pPr>
        <w:pStyle w:val="Default"/>
        <w:spacing w:line="360" w:lineRule="auto"/>
        <w:ind w:firstLineChars="200" w:firstLine="562"/>
        <w:rPr>
          <w:rFonts w:ascii="宋体" w:eastAsia="宋体" w:hAnsi="宋体" w:cs="宋体" w:hint="default"/>
          <w:color w:val="auto"/>
          <w:sz w:val="28"/>
          <w:szCs w:val="28"/>
        </w:rPr>
      </w:pPr>
      <w:r>
        <w:rPr>
          <w:rFonts w:ascii="宋体" w:eastAsia="宋体" w:hAnsi="宋体" w:cs="宋体"/>
          <w:b/>
          <w:color w:val="auto"/>
          <w:sz w:val="28"/>
          <w:szCs w:val="28"/>
          <w:lang w:val="zh-CN"/>
        </w:rPr>
        <w:t>（二）“三公”经费财政拨款支出决算具体情况说明</w:t>
      </w:r>
    </w:p>
    <w:p w:rsidR="00B87C8A" w:rsidRDefault="002D1C8A">
      <w:pPr>
        <w:pStyle w:val="Default"/>
        <w:spacing w:line="360" w:lineRule="auto"/>
        <w:ind w:firstLineChars="200" w:firstLine="560"/>
        <w:rPr>
          <w:rFonts w:ascii="宋体" w:eastAsia="宋体" w:cs="宋体" w:hint="default"/>
          <w:color w:val="auto"/>
          <w:sz w:val="28"/>
          <w:szCs w:val="28"/>
        </w:rPr>
      </w:pPr>
      <w:r>
        <w:rPr>
          <w:rFonts w:ascii="宋体" w:eastAsia="宋体" w:hAnsi="宋体"/>
          <w:color w:val="auto"/>
          <w:sz w:val="28"/>
          <w:szCs w:val="28"/>
        </w:rPr>
        <w:t>2021年度“三公”经费财政拨款支出决算中，因公出国（境）费支</w:t>
      </w:r>
      <w:r>
        <w:rPr>
          <w:rFonts w:ascii="宋体" w:eastAsia="宋体" w:hAnsi="宋体"/>
          <w:color w:val="auto"/>
          <w:sz w:val="28"/>
          <w:szCs w:val="28"/>
        </w:rPr>
        <w:lastRenderedPageBreak/>
        <w:t>出决算0万元，公务用车购置费及运行维护费支出决算0万元，公务接待费支出决算18万元，占100%。其中：因公出国（境）费支出决算为0万元；公务用车购置费及运行维护费支出决算0万元，截止2021年12月31日，我单位开支财政拨款的公务用车保有量为0辆；公务接待费支出决算为18万元，全部为国内公务接待支出,主要用于与有关单位交流工作情况及接受相关部门检查指导工作发生的接待支出，2021年共接待国内</w:t>
      </w:r>
      <w:r w:rsidRPr="00D472CF">
        <w:rPr>
          <w:rFonts w:ascii="宋体" w:eastAsia="宋体" w:hAnsi="宋体"/>
          <w:color w:val="auto"/>
          <w:sz w:val="28"/>
          <w:szCs w:val="28"/>
        </w:rPr>
        <w:t>公务接待批次</w:t>
      </w:r>
      <w:r w:rsidR="00A462A7" w:rsidRPr="00D472CF">
        <w:rPr>
          <w:rFonts w:ascii="宋体" w:eastAsia="宋体" w:hAnsi="宋体"/>
          <w:color w:val="auto"/>
          <w:sz w:val="28"/>
          <w:szCs w:val="28"/>
        </w:rPr>
        <w:t>220</w:t>
      </w:r>
      <w:r w:rsidRPr="00D472CF">
        <w:rPr>
          <w:rFonts w:ascii="宋体" w:eastAsia="宋体" w:hAnsi="宋体"/>
          <w:color w:val="auto"/>
          <w:sz w:val="28"/>
          <w:szCs w:val="28"/>
        </w:rPr>
        <w:t>个、接待人次</w:t>
      </w:r>
      <w:r w:rsidR="00A462A7" w:rsidRPr="00D472CF">
        <w:rPr>
          <w:rFonts w:ascii="宋体" w:eastAsia="宋体" w:hAnsi="宋体"/>
          <w:color w:val="auto"/>
          <w:sz w:val="28"/>
          <w:szCs w:val="28"/>
        </w:rPr>
        <w:t>1627</w:t>
      </w:r>
      <w:r w:rsidRPr="00D472CF">
        <w:rPr>
          <w:rFonts w:ascii="宋体" w:eastAsia="宋体" w:hAnsi="宋体"/>
          <w:color w:val="auto"/>
          <w:sz w:val="28"/>
          <w:szCs w:val="28"/>
        </w:rPr>
        <w:t>人次（</w:t>
      </w:r>
      <w:r w:rsidR="00A462A7" w:rsidRPr="00D472CF">
        <w:rPr>
          <w:rFonts w:ascii="宋体" w:eastAsia="宋体" w:hAnsi="宋体"/>
          <w:color w:val="auto"/>
          <w:sz w:val="28"/>
          <w:szCs w:val="28"/>
        </w:rPr>
        <w:t>不</w:t>
      </w:r>
      <w:r w:rsidRPr="00D472CF">
        <w:rPr>
          <w:rFonts w:ascii="宋体" w:eastAsia="宋体" w:hAnsi="宋体"/>
          <w:color w:val="auto"/>
          <w:sz w:val="28"/>
          <w:szCs w:val="28"/>
        </w:rPr>
        <w:t>包括陪同人员）</w:t>
      </w:r>
      <w:r>
        <w:rPr>
          <w:rFonts w:ascii="宋体" w:eastAsia="宋体" w:hAnsi="宋体"/>
          <w:color w:val="auto"/>
          <w:sz w:val="28"/>
          <w:szCs w:val="28"/>
        </w:rPr>
        <w:t>。</w:t>
      </w:r>
    </w:p>
    <w:p w:rsidR="00B87C8A" w:rsidRDefault="002D1C8A">
      <w:pPr>
        <w:autoSpaceDE w:val="0"/>
        <w:autoSpaceDN w:val="0"/>
        <w:adjustRightInd w:val="0"/>
        <w:spacing w:line="360" w:lineRule="auto"/>
        <w:ind w:firstLineChars="200" w:firstLine="640"/>
        <w:jc w:val="left"/>
        <w:rPr>
          <w:rFonts w:ascii="宋体" w:cs="宋体" w:hint="default"/>
          <w:sz w:val="28"/>
          <w:szCs w:val="28"/>
        </w:rPr>
      </w:pPr>
      <w:r>
        <w:rPr>
          <w:rFonts w:ascii="黑体" w:eastAsia="黑体" w:cs="黑体"/>
          <w:sz w:val="32"/>
          <w:szCs w:val="32"/>
          <w:lang w:val="zh-CN"/>
        </w:rPr>
        <w:t>八、政府性基金预算收入支出决算情况</w:t>
      </w:r>
    </w:p>
    <w:p w:rsidR="00B87C8A" w:rsidRPr="002D1C8A" w:rsidRDefault="002D1C8A" w:rsidP="002D1C8A">
      <w:pPr>
        <w:autoSpaceDE w:val="0"/>
        <w:autoSpaceDN w:val="0"/>
        <w:adjustRightInd w:val="0"/>
        <w:spacing w:line="360" w:lineRule="auto"/>
        <w:ind w:firstLineChars="200" w:firstLine="560"/>
        <w:rPr>
          <w:rFonts w:ascii="Times New Roman" w:hAnsi="Times New Roman" w:hint="default"/>
          <w:sz w:val="28"/>
          <w:szCs w:val="28"/>
        </w:rPr>
      </w:pPr>
      <w:r w:rsidRPr="002D1C8A">
        <w:rPr>
          <w:rFonts w:ascii="宋体" w:cs="宋体"/>
          <w:sz w:val="28"/>
          <w:szCs w:val="28"/>
          <w:lang w:val="zh-CN"/>
        </w:rPr>
        <w:t>2021年本单位没有使用政府性基金预算财政拨款安排的收支。</w:t>
      </w:r>
    </w:p>
    <w:p w:rsidR="00B87C8A" w:rsidRDefault="002D1C8A">
      <w:pPr>
        <w:autoSpaceDE w:val="0"/>
        <w:autoSpaceDN w:val="0"/>
        <w:adjustRightInd w:val="0"/>
        <w:spacing w:line="360" w:lineRule="auto"/>
        <w:ind w:firstLineChars="200" w:firstLine="640"/>
        <w:rPr>
          <w:rFonts w:ascii="宋体" w:hAnsi="Times New Roman" w:cs="宋体" w:hint="default"/>
          <w:sz w:val="32"/>
          <w:szCs w:val="32"/>
          <w:lang w:val="zh-CN"/>
        </w:rPr>
      </w:pPr>
      <w:r>
        <w:rPr>
          <w:rFonts w:ascii="黑体" w:eastAsia="黑体" w:hAnsi="Times New Roman" w:cs="黑体"/>
          <w:sz w:val="32"/>
          <w:szCs w:val="32"/>
          <w:lang w:val="zh-CN"/>
        </w:rPr>
        <w:t>九、国有资本经营预算财政拨款支出决算情况</w:t>
      </w:r>
    </w:p>
    <w:p w:rsidR="00B87C8A" w:rsidRPr="002D1C8A" w:rsidRDefault="002D1C8A" w:rsidP="002D1C8A">
      <w:pPr>
        <w:autoSpaceDE w:val="0"/>
        <w:autoSpaceDN w:val="0"/>
        <w:adjustRightInd w:val="0"/>
        <w:spacing w:line="360" w:lineRule="auto"/>
        <w:ind w:firstLineChars="200" w:firstLine="560"/>
        <w:rPr>
          <w:rFonts w:ascii="宋体" w:hAnsi="Times New Roman" w:cs="宋体" w:hint="default"/>
          <w:sz w:val="28"/>
          <w:szCs w:val="28"/>
          <w:lang w:val="zh-CN"/>
        </w:rPr>
      </w:pPr>
      <w:r w:rsidRPr="002D1C8A">
        <w:rPr>
          <w:rFonts w:ascii="宋体" w:hAnsi="Times New Roman" w:cs="宋体"/>
          <w:sz w:val="28"/>
          <w:szCs w:val="28"/>
          <w:lang w:val="zh-CN"/>
        </w:rPr>
        <w:t>2021年本单位没有使用国有资本经营预算安排的支出。</w:t>
      </w:r>
    </w:p>
    <w:p w:rsidR="00B87C8A" w:rsidRDefault="002D1C8A">
      <w:pPr>
        <w:autoSpaceDE w:val="0"/>
        <w:autoSpaceDN w:val="0"/>
        <w:adjustRightInd w:val="0"/>
        <w:spacing w:line="360" w:lineRule="auto"/>
        <w:ind w:firstLineChars="200" w:firstLine="640"/>
        <w:rPr>
          <w:rFonts w:ascii="宋体" w:hAnsi="Times New Roman" w:cs="宋体" w:hint="default"/>
          <w:sz w:val="32"/>
          <w:szCs w:val="32"/>
          <w:lang w:val="zh-CN"/>
        </w:rPr>
      </w:pPr>
      <w:r>
        <w:rPr>
          <w:rFonts w:ascii="黑体" w:eastAsia="黑体" w:hAnsi="Times New Roman" w:cs="黑体"/>
          <w:kern w:val="0"/>
          <w:sz w:val="32"/>
          <w:szCs w:val="32"/>
        </w:rPr>
        <w:t>十、</w:t>
      </w:r>
      <w:r>
        <w:rPr>
          <w:rFonts w:ascii="黑体" w:eastAsia="黑体" w:hAnsi="Times New Roman" w:cs="黑体"/>
          <w:sz w:val="32"/>
          <w:szCs w:val="32"/>
        </w:rPr>
        <w:t>机关运行经费支出说明</w:t>
      </w:r>
    </w:p>
    <w:p w:rsidR="00B87C8A" w:rsidRPr="002D1C8A" w:rsidRDefault="002D1C8A" w:rsidP="002D1C8A">
      <w:pPr>
        <w:autoSpaceDE w:val="0"/>
        <w:autoSpaceDN w:val="0"/>
        <w:adjustRightInd w:val="0"/>
        <w:spacing w:line="360" w:lineRule="auto"/>
        <w:ind w:firstLineChars="200" w:firstLine="560"/>
        <w:rPr>
          <w:rFonts w:ascii="宋体" w:hAnsi="Times New Roman" w:cs="宋体" w:hint="default"/>
          <w:sz w:val="28"/>
          <w:szCs w:val="28"/>
          <w:lang w:val="zh-CN"/>
        </w:rPr>
      </w:pPr>
      <w:r w:rsidRPr="002D1C8A">
        <w:rPr>
          <w:rFonts w:ascii="宋体" w:hAnsi="Times New Roman" w:cs="宋体"/>
          <w:sz w:val="28"/>
          <w:szCs w:val="28"/>
        </w:rPr>
        <w:t>吉首大学单位性质为财政补助事业单位，部门决算报表没有机关运行经费统计数据。</w:t>
      </w:r>
    </w:p>
    <w:p w:rsidR="00B87C8A" w:rsidRDefault="002D1C8A">
      <w:pPr>
        <w:autoSpaceDE w:val="0"/>
        <w:autoSpaceDN w:val="0"/>
        <w:adjustRightInd w:val="0"/>
        <w:spacing w:line="360" w:lineRule="auto"/>
        <w:ind w:firstLineChars="200" w:firstLine="640"/>
        <w:rPr>
          <w:rFonts w:ascii="宋体" w:hAnsi="Times New Roman" w:cs="宋体" w:hint="default"/>
          <w:sz w:val="32"/>
          <w:szCs w:val="32"/>
          <w:lang w:val="zh-CN"/>
        </w:rPr>
      </w:pPr>
      <w:r>
        <w:rPr>
          <w:rFonts w:ascii="黑体" w:eastAsia="黑体" w:hAnsi="Times New Roman" w:cs="黑体"/>
          <w:sz w:val="32"/>
          <w:szCs w:val="32"/>
        </w:rPr>
        <w:t>十一、</w:t>
      </w:r>
      <w:r>
        <w:rPr>
          <w:rFonts w:ascii="黑体" w:eastAsia="黑体" w:hAnsi="Times New Roman" w:cs="黑体"/>
          <w:kern w:val="0"/>
          <w:sz w:val="32"/>
          <w:szCs w:val="32"/>
        </w:rPr>
        <w:t>一般性支出情况</w:t>
      </w:r>
    </w:p>
    <w:p w:rsidR="00B87C8A" w:rsidRPr="002D1C8A" w:rsidRDefault="002D1C8A">
      <w:pPr>
        <w:autoSpaceDE w:val="0"/>
        <w:autoSpaceDN w:val="0"/>
        <w:adjustRightInd w:val="0"/>
        <w:spacing w:line="360" w:lineRule="auto"/>
        <w:ind w:firstLineChars="200" w:firstLine="560"/>
        <w:rPr>
          <w:rFonts w:ascii="宋体" w:hAnsi="Times New Roman" w:cs="宋体" w:hint="default"/>
          <w:sz w:val="28"/>
          <w:szCs w:val="28"/>
        </w:rPr>
      </w:pPr>
      <w:r w:rsidRPr="002D1C8A">
        <w:rPr>
          <w:rFonts w:ascii="宋体" w:hAnsi="宋体" w:cs="宋体"/>
          <w:kern w:val="0"/>
          <w:sz w:val="28"/>
          <w:szCs w:val="28"/>
        </w:rPr>
        <w:t>2021年本部门</w:t>
      </w:r>
      <w:r w:rsidRPr="002D1C8A">
        <w:rPr>
          <w:rFonts w:ascii="宋体" w:hAnsi="宋体" w:cs="宋体"/>
          <w:sz w:val="28"/>
          <w:szCs w:val="28"/>
          <w:lang w:val="zh-CN"/>
        </w:rPr>
        <w:t>一般公共预算财政拨款支出决算</w:t>
      </w:r>
      <w:r w:rsidRPr="002D1C8A">
        <w:rPr>
          <w:rFonts w:ascii="宋体" w:hAnsi="宋体" w:cs="宋体"/>
          <w:kern w:val="0"/>
          <w:sz w:val="28"/>
          <w:szCs w:val="28"/>
        </w:rPr>
        <w:t>无</w:t>
      </w:r>
      <w:r w:rsidRPr="002D1C8A">
        <w:rPr>
          <w:rFonts w:ascii="宋体" w:hAnsi="Times New Roman" w:cs="宋体"/>
          <w:kern w:val="0"/>
          <w:sz w:val="28"/>
          <w:szCs w:val="28"/>
        </w:rPr>
        <w:t>举办节庆、晚会、论坛、赛事活动等相关的</w:t>
      </w:r>
      <w:r w:rsidRPr="002D1C8A">
        <w:rPr>
          <w:rFonts w:ascii="宋体" w:hAnsi="宋体" w:cs="宋体"/>
          <w:kern w:val="0"/>
          <w:sz w:val="28"/>
          <w:szCs w:val="28"/>
        </w:rPr>
        <w:t>会议费开支。</w:t>
      </w:r>
    </w:p>
    <w:p w:rsidR="00B87C8A" w:rsidRDefault="002D1C8A">
      <w:pPr>
        <w:autoSpaceDE w:val="0"/>
        <w:autoSpaceDN w:val="0"/>
        <w:adjustRightInd w:val="0"/>
        <w:spacing w:line="360" w:lineRule="auto"/>
        <w:ind w:firstLineChars="200" w:firstLine="640"/>
        <w:rPr>
          <w:rFonts w:ascii="宋体" w:hAnsi="Times New Roman" w:cs="宋体" w:hint="default"/>
          <w:sz w:val="32"/>
          <w:szCs w:val="32"/>
        </w:rPr>
      </w:pPr>
      <w:r>
        <w:rPr>
          <w:rFonts w:ascii="黑体" w:eastAsia="黑体" w:hAnsi="Times New Roman" w:cs="黑体"/>
          <w:kern w:val="0"/>
          <w:sz w:val="32"/>
          <w:szCs w:val="32"/>
        </w:rPr>
        <w:t>十二、关于</w:t>
      </w:r>
      <w:r>
        <w:rPr>
          <w:rFonts w:ascii="黑体" w:eastAsia="黑体" w:hAnsi="Times New Roman" w:cs="黑体"/>
          <w:sz w:val="32"/>
          <w:szCs w:val="32"/>
        </w:rPr>
        <w:t>政府采购支出说明</w:t>
      </w:r>
    </w:p>
    <w:p w:rsidR="00B87C8A" w:rsidRPr="002D1C8A" w:rsidRDefault="002D1C8A" w:rsidP="002D1C8A">
      <w:pPr>
        <w:autoSpaceDE w:val="0"/>
        <w:autoSpaceDN w:val="0"/>
        <w:adjustRightInd w:val="0"/>
        <w:spacing w:line="360" w:lineRule="auto"/>
        <w:ind w:firstLineChars="200" w:firstLine="560"/>
        <w:rPr>
          <w:rFonts w:ascii="宋体" w:hAnsi="Times New Roman" w:cs="宋体" w:hint="default"/>
          <w:sz w:val="28"/>
          <w:szCs w:val="28"/>
        </w:rPr>
      </w:pPr>
      <w:r w:rsidRPr="002D1C8A">
        <w:rPr>
          <w:rFonts w:ascii="宋体" w:hAnsi="Times New Roman" w:cs="宋体"/>
          <w:sz w:val="28"/>
          <w:szCs w:val="28"/>
        </w:rPr>
        <w:t>2021年度政府采购支出总额11628.76万元，其中：政府采购货物支出4326.68万元；政府采购工程支出3792.58万元；政府采购服务支出3509.5万元。授予中小企业合同金额7093.98万元，占政府采购支出总额的61%，其中：授予小微企业合同金额6108.96万元，占授予中小企业合同金额的86.11%。</w:t>
      </w:r>
    </w:p>
    <w:p w:rsidR="00B87C8A" w:rsidRDefault="002D1C8A">
      <w:pPr>
        <w:autoSpaceDE w:val="0"/>
        <w:autoSpaceDN w:val="0"/>
        <w:adjustRightInd w:val="0"/>
        <w:spacing w:line="360" w:lineRule="auto"/>
        <w:ind w:firstLineChars="200" w:firstLine="640"/>
        <w:rPr>
          <w:rFonts w:ascii="宋体" w:hAnsi="Times New Roman" w:cs="宋体" w:hint="default"/>
          <w:sz w:val="32"/>
          <w:szCs w:val="32"/>
        </w:rPr>
      </w:pPr>
      <w:r>
        <w:rPr>
          <w:rFonts w:ascii="黑体" w:eastAsia="黑体" w:hAnsi="Times New Roman" w:cs="黑体"/>
          <w:sz w:val="32"/>
          <w:szCs w:val="32"/>
        </w:rPr>
        <w:lastRenderedPageBreak/>
        <w:t>十三、关于国有资产占有情况</w:t>
      </w:r>
      <w:r>
        <w:rPr>
          <w:rFonts w:ascii="黑体" w:eastAsia="黑体" w:hAnsi="Times New Roman" w:cs="黑体"/>
          <w:kern w:val="0"/>
          <w:sz w:val="32"/>
          <w:szCs w:val="32"/>
        </w:rPr>
        <w:t>说明</w:t>
      </w:r>
    </w:p>
    <w:p w:rsidR="00B87C8A" w:rsidRPr="002D1C8A" w:rsidRDefault="002D1C8A" w:rsidP="002D1C8A">
      <w:pPr>
        <w:autoSpaceDE w:val="0"/>
        <w:autoSpaceDN w:val="0"/>
        <w:adjustRightInd w:val="0"/>
        <w:spacing w:line="360" w:lineRule="auto"/>
        <w:ind w:firstLineChars="200" w:firstLine="560"/>
        <w:rPr>
          <w:rFonts w:ascii="宋体" w:hAnsi="Times New Roman" w:cs="宋体" w:hint="default"/>
          <w:sz w:val="28"/>
          <w:szCs w:val="28"/>
        </w:rPr>
      </w:pPr>
      <w:r w:rsidRPr="002D1C8A">
        <w:rPr>
          <w:rFonts w:ascii="宋体" w:hAnsi="Times New Roman" w:cs="宋体"/>
          <w:sz w:val="28"/>
          <w:szCs w:val="28"/>
        </w:rPr>
        <w:t>截至2021年12月31日，吉首大学共有车辆9辆。其中：应急保障用车5辆、其他用车4辆，其他用车主要是用于机要通信和应急保障之外公务用途的车辆；单价50万元(含)以上通用设备28台（套），单价 100 万元(含)以上专用设备3台（套）。</w:t>
      </w:r>
    </w:p>
    <w:p w:rsidR="00B87C8A" w:rsidRDefault="002D1C8A">
      <w:pPr>
        <w:autoSpaceDE w:val="0"/>
        <w:autoSpaceDN w:val="0"/>
        <w:adjustRightInd w:val="0"/>
        <w:spacing w:line="360" w:lineRule="auto"/>
        <w:ind w:firstLineChars="200" w:firstLine="640"/>
        <w:rPr>
          <w:rFonts w:ascii="黑体" w:eastAsia="黑体" w:cs="黑体" w:hint="default"/>
          <w:kern w:val="0"/>
          <w:sz w:val="32"/>
          <w:szCs w:val="32"/>
        </w:rPr>
      </w:pPr>
      <w:r>
        <w:rPr>
          <w:rFonts w:ascii="黑体" w:eastAsia="黑体" w:cs="黑体"/>
          <w:sz w:val="32"/>
          <w:szCs w:val="32"/>
        </w:rPr>
        <w:t>十</w:t>
      </w:r>
      <w:r>
        <w:rPr>
          <w:rFonts w:ascii="黑体" w:eastAsia="黑体" w:cs="黑体"/>
          <w:kern w:val="0"/>
          <w:sz w:val="32"/>
          <w:szCs w:val="32"/>
        </w:rPr>
        <w:t>四、关于2021年度预算绩效情况的说明</w:t>
      </w:r>
    </w:p>
    <w:p w:rsidR="00B87C8A" w:rsidRDefault="002D1C8A">
      <w:pPr>
        <w:spacing w:line="360" w:lineRule="auto"/>
        <w:ind w:firstLineChars="200" w:firstLine="560"/>
        <w:rPr>
          <w:rFonts w:ascii="宋体" w:cs="黑体" w:hint="default"/>
          <w:kern w:val="0"/>
          <w:sz w:val="28"/>
          <w:szCs w:val="28"/>
        </w:rPr>
      </w:pPr>
      <w:r>
        <w:rPr>
          <w:rFonts w:ascii="宋体" w:hAnsi="宋体" w:cs="宋体"/>
          <w:kern w:val="0"/>
          <w:sz w:val="28"/>
          <w:szCs w:val="28"/>
        </w:rPr>
        <w:t>学校预算管理坚持“量入为出、收支平衡，综合预算、统筹资源，保证重点、兼顾一般，厉行节约、讲求绩效”的原则。为提高资金使用效益，实现“集中力量办大事”，学校主要从以下方面持续加强预算绩效管理。</w:t>
      </w:r>
    </w:p>
    <w:p w:rsidR="00B87C8A" w:rsidRDefault="002D1C8A">
      <w:pPr>
        <w:spacing w:line="360" w:lineRule="auto"/>
        <w:ind w:firstLineChars="200" w:firstLine="562"/>
        <w:rPr>
          <w:rFonts w:ascii="宋体" w:cs="黑体" w:hint="default"/>
          <w:b/>
          <w:kern w:val="0"/>
          <w:sz w:val="28"/>
          <w:szCs w:val="28"/>
        </w:rPr>
      </w:pPr>
      <w:r>
        <w:rPr>
          <w:rFonts w:ascii="宋体" w:hAnsi="宋体" w:cs="宋体"/>
          <w:b/>
          <w:kern w:val="0"/>
          <w:sz w:val="28"/>
          <w:szCs w:val="28"/>
        </w:rPr>
        <w:t>（一）实施全过程绩效管理</w:t>
      </w:r>
    </w:p>
    <w:p w:rsidR="00B87C8A" w:rsidRDefault="002D1C8A">
      <w:pPr>
        <w:spacing w:line="360" w:lineRule="auto"/>
        <w:ind w:firstLineChars="200" w:firstLine="560"/>
        <w:rPr>
          <w:rFonts w:ascii="宋体" w:cs="黑体" w:hint="default"/>
          <w:kern w:val="0"/>
          <w:sz w:val="28"/>
          <w:szCs w:val="28"/>
        </w:rPr>
      </w:pPr>
      <w:r>
        <w:rPr>
          <w:rFonts w:ascii="宋体" w:hAnsi="宋体" w:cs="宋体"/>
          <w:kern w:val="0"/>
          <w:sz w:val="28"/>
          <w:szCs w:val="28"/>
        </w:rPr>
        <w:t>1、预算编制时，明确绩效目标。一是明确申报专项预算时，在对项目建设必要性、可行性分析的同时，需列明项目的绩效目标；二是预算项目遴选时，绩效目标设置的清晰、合理、有效，是项目能否立项的重要影响因素；三是学校预算编制草案及明细方案（含项目绩效目标）须报经学校校务会审议、校党委会决议确定；四是项目绩效目</w:t>
      </w:r>
      <w:r w:rsidR="003F0F38">
        <w:rPr>
          <w:rFonts w:ascii="宋体" w:hAnsi="宋体" w:cs="宋体"/>
          <w:kern w:val="0"/>
          <w:sz w:val="28"/>
          <w:szCs w:val="28"/>
        </w:rPr>
        <w:t>标</w:t>
      </w:r>
      <w:r>
        <w:rPr>
          <w:rFonts w:ascii="宋体" w:hAnsi="宋体" w:cs="宋体"/>
          <w:kern w:val="0"/>
          <w:sz w:val="28"/>
          <w:szCs w:val="28"/>
        </w:rPr>
        <w:t>经整理成档后作为预算绩效评价依据。</w:t>
      </w:r>
    </w:p>
    <w:p w:rsidR="00B87C8A" w:rsidRDefault="002D1C8A">
      <w:pPr>
        <w:spacing w:line="360" w:lineRule="auto"/>
        <w:ind w:firstLineChars="200" w:firstLine="560"/>
        <w:rPr>
          <w:rFonts w:ascii="宋体" w:cs="黑体" w:hint="default"/>
          <w:kern w:val="0"/>
          <w:sz w:val="28"/>
          <w:szCs w:val="28"/>
        </w:rPr>
      </w:pPr>
      <w:r>
        <w:rPr>
          <w:rFonts w:ascii="宋体" w:hAnsi="宋体" w:cs="宋体"/>
          <w:kern w:val="0"/>
          <w:sz w:val="28"/>
          <w:szCs w:val="28"/>
        </w:rPr>
        <w:t>2、预算执行中，实施跟踪问效。年度下达预算后，学校财务部门于年中及下半年及时开展资金执行情况分析、整理和调研，序时公开预算执行情况，分别采取收回预算资金、压缩下年度预算、进行预算调整等方式对预算资金跟踪问效。</w:t>
      </w:r>
    </w:p>
    <w:p w:rsidR="00B87C8A" w:rsidRDefault="002D1C8A">
      <w:pPr>
        <w:spacing w:line="360" w:lineRule="auto"/>
        <w:ind w:firstLineChars="200" w:firstLine="560"/>
        <w:rPr>
          <w:rFonts w:ascii="宋体" w:cs="黑体" w:hint="default"/>
          <w:kern w:val="0"/>
          <w:sz w:val="28"/>
          <w:szCs w:val="28"/>
        </w:rPr>
      </w:pPr>
      <w:r>
        <w:rPr>
          <w:rFonts w:ascii="宋体" w:hAnsi="宋体" w:cs="宋体"/>
          <w:kern w:val="0"/>
          <w:sz w:val="28"/>
          <w:szCs w:val="28"/>
        </w:rPr>
        <w:t>3、预算年度间，开展绩效评价。每年末，开展预算执行情况分析，执行情况与下年预算草案挂钩，对部分执行效果差的项目采取预算削减</w:t>
      </w:r>
      <w:r>
        <w:rPr>
          <w:rFonts w:ascii="宋体" w:hAnsi="宋体" w:cs="宋体"/>
          <w:kern w:val="0"/>
          <w:sz w:val="28"/>
          <w:szCs w:val="28"/>
        </w:rPr>
        <w:lastRenderedPageBreak/>
        <w:t>或暂缓项目立项方式实施跟踪问效。组织或协助开展资金预算绩效评价、预算项目执行审计等工作，通过约谈、公开或披露预算项目执行存在的问题等方式，不断强化预算绩效的全过程管理，有效地提高了资金使用的合规性、效益性。</w:t>
      </w:r>
    </w:p>
    <w:p w:rsidR="00B87C8A" w:rsidRDefault="002D1C8A">
      <w:pPr>
        <w:spacing w:line="360" w:lineRule="auto"/>
        <w:ind w:firstLineChars="200" w:firstLine="562"/>
        <w:rPr>
          <w:rFonts w:ascii="宋体" w:cs="黑体" w:hint="default"/>
          <w:kern w:val="0"/>
          <w:sz w:val="28"/>
          <w:szCs w:val="28"/>
        </w:rPr>
      </w:pPr>
      <w:r>
        <w:rPr>
          <w:rFonts w:ascii="宋体" w:hAnsi="宋体" w:cs="宋体"/>
          <w:b/>
          <w:kern w:val="0"/>
          <w:sz w:val="28"/>
          <w:szCs w:val="28"/>
        </w:rPr>
        <w:t>（二）积极开展高校双一流建设专项资金绩效评价</w:t>
      </w:r>
    </w:p>
    <w:p w:rsidR="00B87C8A" w:rsidRDefault="002D1C8A">
      <w:pPr>
        <w:spacing w:line="360" w:lineRule="auto"/>
        <w:ind w:firstLineChars="200" w:firstLine="560"/>
        <w:rPr>
          <w:rFonts w:ascii="宋体" w:cs="黑体" w:hint="default"/>
          <w:kern w:val="0"/>
          <w:sz w:val="28"/>
          <w:szCs w:val="28"/>
        </w:rPr>
      </w:pPr>
      <w:r>
        <w:rPr>
          <w:rFonts w:ascii="宋体" w:hAnsi="宋体" w:cs="宋体"/>
          <w:kern w:val="0"/>
          <w:sz w:val="28"/>
          <w:szCs w:val="28"/>
        </w:rPr>
        <w:t xml:space="preserve">  根据省厅文件要求，积极开展高校双一流建设专项资金绩效评价，以评促建、以评促改。通过专项资金绩效评价的组织实施，对标学校整体资金的预算绩效管理，总结经验，完善预算绩效管理机制。</w:t>
      </w:r>
    </w:p>
    <w:p w:rsidR="00B87C8A" w:rsidRDefault="002D1C8A">
      <w:pPr>
        <w:adjustRightInd w:val="0"/>
        <w:snapToGrid w:val="0"/>
        <w:spacing w:line="360" w:lineRule="auto"/>
        <w:ind w:firstLineChars="200" w:firstLine="560"/>
        <w:rPr>
          <w:rFonts w:ascii="宋体" w:cs="黑体" w:hint="default"/>
          <w:kern w:val="0"/>
          <w:sz w:val="28"/>
          <w:szCs w:val="28"/>
        </w:rPr>
      </w:pPr>
      <w:r>
        <w:rPr>
          <w:rFonts w:ascii="宋体" w:hAnsi="宋体" w:cs="宋体"/>
          <w:kern w:val="0"/>
          <w:sz w:val="28"/>
          <w:szCs w:val="28"/>
        </w:rPr>
        <w:t>在编报2021年预算时，学校预测双一流经费5326.39万元，较2020年5192.36万元增长134.03</w:t>
      </w:r>
      <w:r w:rsidR="00803058">
        <w:rPr>
          <w:rFonts w:ascii="宋体" w:hAnsi="宋体" w:cs="宋体"/>
          <w:kern w:val="0"/>
          <w:sz w:val="28"/>
          <w:szCs w:val="28"/>
        </w:rPr>
        <w:t>万元，主要依据是学校获批为国家博士学位授权单位</w:t>
      </w:r>
      <w:r>
        <w:rPr>
          <w:rFonts w:ascii="宋体" w:hAnsi="宋体" w:cs="宋体"/>
          <w:kern w:val="0"/>
          <w:sz w:val="28"/>
          <w:szCs w:val="28"/>
        </w:rPr>
        <w:t>，办学层次及办学规模有较大提升。学校在2021年初预算编报时按5236.39万元遴选“双一流”建设项目库，预算执行过程中，再根据省财政的实际到账“双一流”专项经费，具体明确“双一流”建设项目库中的资金保障性质。</w:t>
      </w:r>
    </w:p>
    <w:p w:rsidR="00B87C8A" w:rsidRDefault="002D1C8A">
      <w:pPr>
        <w:adjustRightInd w:val="0"/>
        <w:snapToGrid w:val="0"/>
        <w:spacing w:line="360" w:lineRule="auto"/>
        <w:ind w:firstLineChars="200" w:firstLine="560"/>
        <w:rPr>
          <w:rFonts w:ascii="宋体" w:cs="黑体" w:hint="default"/>
          <w:kern w:val="0"/>
          <w:sz w:val="28"/>
          <w:szCs w:val="28"/>
        </w:rPr>
      </w:pPr>
      <w:r>
        <w:rPr>
          <w:rFonts w:ascii="宋体" w:hAnsi="宋体" w:cs="宋体"/>
          <w:kern w:val="0"/>
          <w:sz w:val="28"/>
          <w:szCs w:val="28"/>
        </w:rPr>
        <w:t>学校2021年获得省财政“双一流”专项资金3103万元（2021〔湘财预〕0001号 2478万，湘财教指〔2021〕0040号605万，湘财教指〔2021〕0042号 20万）；根据省厅实际拨款情况，结合年初遴选的“双一流”建设项目库，明确2021年“双一流”建设项目资金3103万元由省财政专项保障，剩余2223.39万元由学校自有资金解决。具体建设项目及实际使用情况如下：</w:t>
      </w:r>
    </w:p>
    <w:p w:rsidR="00B87C8A" w:rsidRDefault="002D1C8A">
      <w:pPr>
        <w:adjustRightInd w:val="0"/>
        <w:snapToGrid w:val="0"/>
        <w:spacing w:line="600" w:lineRule="exact"/>
        <w:ind w:firstLine="0"/>
        <w:jc w:val="center"/>
        <w:rPr>
          <w:rFonts w:ascii="宋体" w:hint="default"/>
          <w:b/>
          <w:sz w:val="24"/>
        </w:rPr>
      </w:pPr>
      <w:r>
        <w:rPr>
          <w:rFonts w:ascii="宋体" w:hAnsi="宋体" w:cs="宋体"/>
          <w:b/>
          <w:sz w:val="24"/>
        </w:rPr>
        <w:t>吉首大学2021年 “双一流"专项项目执行明细表</w:t>
      </w:r>
    </w:p>
    <w:p w:rsidR="00B87C8A" w:rsidRDefault="002D1C8A">
      <w:pPr>
        <w:ind w:right="420"/>
        <w:jc w:val="center"/>
        <w:rPr>
          <w:rFonts w:ascii="宋体" w:hint="default"/>
          <w:b/>
          <w:szCs w:val="21"/>
        </w:rPr>
      </w:pPr>
      <w:r>
        <w:rPr>
          <w:rFonts w:ascii="宋体" w:hAnsi="宋体" w:cs="宋体"/>
          <w:b/>
          <w:szCs w:val="21"/>
        </w:rPr>
        <w:t xml:space="preserve">                                                        单位：万元</w:t>
      </w:r>
    </w:p>
    <w:tbl>
      <w:tblPr>
        <w:tblpPr w:leftFromText="180" w:rightFromText="180" w:vertAnchor="text" w:horzAnchor="page" w:tblpX="1894" w:tblpY="84"/>
        <w:tblW w:w="8678" w:type="dxa"/>
        <w:tblLayout w:type="fixed"/>
        <w:tblLook w:val="04A0"/>
      </w:tblPr>
      <w:tblGrid>
        <w:gridCol w:w="1695"/>
        <w:gridCol w:w="1140"/>
        <w:gridCol w:w="2157"/>
        <w:gridCol w:w="1276"/>
        <w:gridCol w:w="1276"/>
        <w:gridCol w:w="1134"/>
      </w:tblGrid>
      <w:tr w:rsidR="00B87C8A">
        <w:trPr>
          <w:trHeight w:val="506"/>
        </w:trPr>
        <w:tc>
          <w:tcPr>
            <w:tcW w:w="1695" w:type="dxa"/>
            <w:tcBorders>
              <w:top w:val="single" w:sz="4" w:space="0" w:color="auto"/>
              <w:left w:val="single" w:sz="4" w:space="0" w:color="auto"/>
              <w:bottom w:val="single" w:sz="4" w:space="0" w:color="auto"/>
              <w:right w:val="single" w:sz="4" w:space="0" w:color="auto"/>
              <w:tl2br w:val="nil"/>
              <w:tr2bl w:val="nil"/>
            </w:tcBorders>
            <w:noWrap/>
            <w:vAlign w:val="center"/>
          </w:tcPr>
          <w:p w:rsidR="00B87C8A" w:rsidRDefault="002D1C8A">
            <w:pPr>
              <w:widowControl/>
              <w:ind w:firstLine="0"/>
              <w:jc w:val="center"/>
              <w:rPr>
                <w:rFonts w:ascii="宋体" w:cs="宋体" w:hint="default"/>
                <w:kern w:val="0"/>
                <w:sz w:val="24"/>
              </w:rPr>
            </w:pPr>
            <w:r>
              <w:rPr>
                <w:rFonts w:ascii="宋体" w:hAnsi="宋体" w:cs="宋体"/>
                <w:kern w:val="0"/>
                <w:sz w:val="24"/>
              </w:rPr>
              <w:t>类别</w:t>
            </w:r>
          </w:p>
        </w:tc>
        <w:tc>
          <w:tcPr>
            <w:tcW w:w="1140" w:type="dxa"/>
            <w:tcBorders>
              <w:top w:val="single" w:sz="4" w:space="0" w:color="auto"/>
              <w:left w:val="nil"/>
              <w:bottom w:val="single" w:sz="4" w:space="0" w:color="auto"/>
              <w:right w:val="single" w:sz="4" w:space="0" w:color="auto"/>
              <w:tl2br w:val="nil"/>
              <w:tr2bl w:val="nil"/>
            </w:tcBorders>
            <w:noWrap/>
            <w:vAlign w:val="center"/>
          </w:tcPr>
          <w:p w:rsidR="00B87C8A" w:rsidRDefault="002D1C8A">
            <w:pPr>
              <w:widowControl/>
              <w:ind w:firstLine="0"/>
              <w:jc w:val="center"/>
              <w:rPr>
                <w:rFonts w:ascii="宋体" w:cs="宋体" w:hint="default"/>
                <w:kern w:val="0"/>
                <w:sz w:val="24"/>
              </w:rPr>
            </w:pPr>
            <w:r>
              <w:rPr>
                <w:rFonts w:ascii="宋体" w:hAnsi="宋体" w:cs="宋体"/>
                <w:kern w:val="0"/>
                <w:sz w:val="24"/>
              </w:rPr>
              <w:t>部门</w:t>
            </w:r>
          </w:p>
        </w:tc>
        <w:tc>
          <w:tcPr>
            <w:tcW w:w="2157" w:type="dxa"/>
            <w:tcBorders>
              <w:top w:val="single" w:sz="4" w:space="0" w:color="auto"/>
              <w:left w:val="nil"/>
              <w:bottom w:val="single" w:sz="4" w:space="0" w:color="auto"/>
              <w:right w:val="single" w:sz="4" w:space="0" w:color="auto"/>
              <w:tl2br w:val="nil"/>
              <w:tr2bl w:val="nil"/>
            </w:tcBorders>
            <w:noWrap/>
            <w:vAlign w:val="center"/>
          </w:tcPr>
          <w:p w:rsidR="00B87C8A" w:rsidRDefault="002D1C8A">
            <w:pPr>
              <w:widowControl/>
              <w:ind w:firstLine="0"/>
              <w:jc w:val="center"/>
              <w:rPr>
                <w:rFonts w:ascii="宋体" w:cs="宋体" w:hint="default"/>
                <w:kern w:val="0"/>
                <w:sz w:val="24"/>
              </w:rPr>
            </w:pPr>
            <w:r>
              <w:rPr>
                <w:rFonts w:ascii="宋体" w:hAnsi="宋体" w:cs="宋体"/>
                <w:kern w:val="0"/>
                <w:sz w:val="24"/>
              </w:rPr>
              <w:t>项目名称</w:t>
            </w:r>
          </w:p>
        </w:tc>
        <w:tc>
          <w:tcPr>
            <w:tcW w:w="1276" w:type="dxa"/>
            <w:tcBorders>
              <w:top w:val="single" w:sz="4" w:space="0" w:color="auto"/>
              <w:left w:val="nil"/>
              <w:bottom w:val="single" w:sz="4" w:space="0" w:color="auto"/>
              <w:right w:val="single" w:sz="4" w:space="0" w:color="auto"/>
              <w:tl2br w:val="nil"/>
              <w:tr2bl w:val="nil"/>
            </w:tcBorders>
            <w:noWrap/>
            <w:vAlign w:val="center"/>
          </w:tcPr>
          <w:p w:rsidR="00B87C8A" w:rsidRDefault="002D1C8A">
            <w:pPr>
              <w:widowControl/>
              <w:ind w:firstLine="0"/>
              <w:jc w:val="center"/>
              <w:rPr>
                <w:rFonts w:ascii="宋体" w:cs="宋体" w:hint="default"/>
                <w:kern w:val="0"/>
                <w:sz w:val="24"/>
              </w:rPr>
            </w:pPr>
            <w:r>
              <w:rPr>
                <w:rFonts w:ascii="宋体" w:hAnsi="宋体" w:cs="宋体"/>
                <w:kern w:val="0"/>
                <w:sz w:val="24"/>
              </w:rPr>
              <w:t>预算安排</w:t>
            </w:r>
          </w:p>
        </w:tc>
        <w:tc>
          <w:tcPr>
            <w:tcW w:w="1276" w:type="dxa"/>
            <w:tcBorders>
              <w:top w:val="single" w:sz="4" w:space="0" w:color="auto"/>
              <w:left w:val="nil"/>
              <w:bottom w:val="single" w:sz="4" w:space="0" w:color="auto"/>
              <w:right w:val="single" w:sz="4" w:space="0" w:color="auto"/>
              <w:tl2br w:val="nil"/>
              <w:tr2bl w:val="nil"/>
            </w:tcBorders>
            <w:noWrap/>
            <w:vAlign w:val="center"/>
          </w:tcPr>
          <w:p w:rsidR="00B87C8A" w:rsidRDefault="002D1C8A">
            <w:pPr>
              <w:widowControl/>
              <w:ind w:firstLine="0"/>
              <w:jc w:val="center"/>
              <w:rPr>
                <w:rFonts w:ascii="宋体" w:cs="宋体" w:hint="default"/>
                <w:kern w:val="0"/>
                <w:sz w:val="24"/>
              </w:rPr>
            </w:pPr>
            <w:r>
              <w:rPr>
                <w:rFonts w:ascii="宋体" w:hAnsi="宋体" w:cs="宋体"/>
                <w:kern w:val="0"/>
                <w:sz w:val="24"/>
              </w:rPr>
              <w:t>预算执行</w:t>
            </w:r>
          </w:p>
        </w:tc>
        <w:tc>
          <w:tcPr>
            <w:tcW w:w="1134" w:type="dxa"/>
            <w:tcBorders>
              <w:top w:val="single" w:sz="4" w:space="0" w:color="auto"/>
              <w:left w:val="nil"/>
              <w:bottom w:val="single" w:sz="4" w:space="0" w:color="auto"/>
              <w:right w:val="single" w:sz="4" w:space="0" w:color="auto"/>
              <w:tl2br w:val="nil"/>
              <w:tr2bl w:val="nil"/>
            </w:tcBorders>
            <w:noWrap/>
            <w:vAlign w:val="center"/>
          </w:tcPr>
          <w:p w:rsidR="00B87C8A" w:rsidRDefault="002D1C8A">
            <w:pPr>
              <w:widowControl/>
              <w:ind w:firstLine="0"/>
              <w:jc w:val="center"/>
              <w:rPr>
                <w:rFonts w:ascii="宋体" w:cs="宋体" w:hint="default"/>
                <w:kern w:val="0"/>
                <w:sz w:val="24"/>
              </w:rPr>
            </w:pPr>
            <w:r>
              <w:rPr>
                <w:rFonts w:ascii="宋体" w:hAnsi="宋体" w:cs="宋体"/>
                <w:kern w:val="0"/>
                <w:sz w:val="24"/>
              </w:rPr>
              <w:t>执行率</w:t>
            </w:r>
          </w:p>
        </w:tc>
      </w:tr>
      <w:tr w:rsidR="00B87C8A">
        <w:trPr>
          <w:trHeight w:val="735"/>
        </w:trPr>
        <w:tc>
          <w:tcPr>
            <w:tcW w:w="1695" w:type="dxa"/>
            <w:tcBorders>
              <w:top w:val="nil"/>
              <w:left w:val="single" w:sz="4" w:space="0" w:color="auto"/>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lastRenderedPageBreak/>
              <w:t>领军人才</w:t>
            </w:r>
          </w:p>
        </w:tc>
        <w:tc>
          <w:tcPr>
            <w:tcW w:w="1140"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人事处</w:t>
            </w:r>
          </w:p>
        </w:tc>
        <w:tc>
          <w:tcPr>
            <w:tcW w:w="2157"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高层次人才特殊报酬</w:t>
            </w:r>
          </w:p>
        </w:tc>
        <w:tc>
          <w:tcPr>
            <w:tcW w:w="1276"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3,187.00</w:t>
            </w:r>
          </w:p>
        </w:tc>
        <w:tc>
          <w:tcPr>
            <w:tcW w:w="1276"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2,288.37</w:t>
            </w:r>
          </w:p>
        </w:tc>
        <w:tc>
          <w:tcPr>
            <w:tcW w:w="1134"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71.80%</w:t>
            </w:r>
          </w:p>
        </w:tc>
      </w:tr>
      <w:tr w:rsidR="00B87C8A">
        <w:trPr>
          <w:trHeight w:val="540"/>
        </w:trPr>
        <w:tc>
          <w:tcPr>
            <w:tcW w:w="1695" w:type="dxa"/>
            <w:tcBorders>
              <w:top w:val="nil"/>
              <w:left w:val="single" w:sz="4" w:space="0" w:color="auto"/>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学科专业建设</w:t>
            </w:r>
          </w:p>
        </w:tc>
        <w:tc>
          <w:tcPr>
            <w:tcW w:w="1140"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发规处</w:t>
            </w:r>
          </w:p>
        </w:tc>
        <w:tc>
          <w:tcPr>
            <w:tcW w:w="2157"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学科建设经费</w:t>
            </w:r>
          </w:p>
        </w:tc>
        <w:tc>
          <w:tcPr>
            <w:tcW w:w="1276"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285.00</w:t>
            </w:r>
          </w:p>
        </w:tc>
        <w:tc>
          <w:tcPr>
            <w:tcW w:w="1276"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259.35</w:t>
            </w:r>
          </w:p>
        </w:tc>
        <w:tc>
          <w:tcPr>
            <w:tcW w:w="1134"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91.00%</w:t>
            </w:r>
          </w:p>
        </w:tc>
      </w:tr>
      <w:tr w:rsidR="00B87C8A">
        <w:trPr>
          <w:trHeight w:val="539"/>
        </w:trPr>
        <w:tc>
          <w:tcPr>
            <w:tcW w:w="1695" w:type="dxa"/>
            <w:tcBorders>
              <w:top w:val="nil"/>
              <w:left w:val="single" w:sz="4" w:space="0" w:color="auto"/>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学科专业建设</w:t>
            </w:r>
          </w:p>
        </w:tc>
        <w:tc>
          <w:tcPr>
            <w:tcW w:w="1140"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教务处</w:t>
            </w:r>
          </w:p>
        </w:tc>
        <w:tc>
          <w:tcPr>
            <w:tcW w:w="2157"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专业建设</w:t>
            </w:r>
          </w:p>
        </w:tc>
        <w:tc>
          <w:tcPr>
            <w:tcW w:w="1276"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649.00</w:t>
            </w:r>
          </w:p>
        </w:tc>
        <w:tc>
          <w:tcPr>
            <w:tcW w:w="1276"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599.47</w:t>
            </w:r>
          </w:p>
        </w:tc>
        <w:tc>
          <w:tcPr>
            <w:tcW w:w="1134"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92.37%</w:t>
            </w:r>
          </w:p>
        </w:tc>
      </w:tr>
      <w:tr w:rsidR="00B87C8A">
        <w:trPr>
          <w:trHeight w:val="540"/>
        </w:trPr>
        <w:tc>
          <w:tcPr>
            <w:tcW w:w="1695" w:type="dxa"/>
            <w:tcBorders>
              <w:top w:val="nil"/>
              <w:left w:val="single" w:sz="4" w:space="0" w:color="auto"/>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学科专业建设</w:t>
            </w:r>
          </w:p>
        </w:tc>
        <w:tc>
          <w:tcPr>
            <w:tcW w:w="1140"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图书馆</w:t>
            </w:r>
          </w:p>
        </w:tc>
        <w:tc>
          <w:tcPr>
            <w:tcW w:w="2157"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图书购置费</w:t>
            </w:r>
          </w:p>
        </w:tc>
        <w:tc>
          <w:tcPr>
            <w:tcW w:w="1276"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370.00</w:t>
            </w:r>
          </w:p>
        </w:tc>
        <w:tc>
          <w:tcPr>
            <w:tcW w:w="1276"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369.99</w:t>
            </w:r>
          </w:p>
        </w:tc>
        <w:tc>
          <w:tcPr>
            <w:tcW w:w="1134"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100.00%</w:t>
            </w:r>
          </w:p>
        </w:tc>
      </w:tr>
      <w:tr w:rsidR="00B87C8A">
        <w:trPr>
          <w:trHeight w:val="540"/>
        </w:trPr>
        <w:tc>
          <w:tcPr>
            <w:tcW w:w="1695" w:type="dxa"/>
            <w:tcBorders>
              <w:top w:val="nil"/>
              <w:left w:val="single" w:sz="4" w:space="0" w:color="auto"/>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创新人才培养</w:t>
            </w:r>
          </w:p>
        </w:tc>
        <w:tc>
          <w:tcPr>
            <w:tcW w:w="1140"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教务处</w:t>
            </w:r>
          </w:p>
        </w:tc>
        <w:tc>
          <w:tcPr>
            <w:tcW w:w="2157"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大学生学科竞赛专项经费</w:t>
            </w:r>
          </w:p>
        </w:tc>
        <w:tc>
          <w:tcPr>
            <w:tcW w:w="1276"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240.00</w:t>
            </w:r>
          </w:p>
        </w:tc>
        <w:tc>
          <w:tcPr>
            <w:tcW w:w="1276"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234.57</w:t>
            </w:r>
          </w:p>
        </w:tc>
        <w:tc>
          <w:tcPr>
            <w:tcW w:w="1134"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97.74%</w:t>
            </w:r>
          </w:p>
        </w:tc>
      </w:tr>
      <w:tr w:rsidR="00B87C8A">
        <w:trPr>
          <w:trHeight w:val="540"/>
        </w:trPr>
        <w:tc>
          <w:tcPr>
            <w:tcW w:w="1695" w:type="dxa"/>
            <w:tcBorders>
              <w:top w:val="nil"/>
              <w:left w:val="single" w:sz="4" w:space="0" w:color="auto"/>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创新人才培养</w:t>
            </w:r>
          </w:p>
        </w:tc>
        <w:tc>
          <w:tcPr>
            <w:tcW w:w="1140"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教务处</w:t>
            </w:r>
          </w:p>
        </w:tc>
        <w:tc>
          <w:tcPr>
            <w:tcW w:w="2157"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课程建设</w:t>
            </w:r>
          </w:p>
        </w:tc>
        <w:tc>
          <w:tcPr>
            <w:tcW w:w="1276"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96.80</w:t>
            </w:r>
          </w:p>
        </w:tc>
        <w:tc>
          <w:tcPr>
            <w:tcW w:w="1276"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96.74</w:t>
            </w:r>
          </w:p>
        </w:tc>
        <w:tc>
          <w:tcPr>
            <w:tcW w:w="1134"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99.93%</w:t>
            </w:r>
          </w:p>
        </w:tc>
      </w:tr>
      <w:tr w:rsidR="00B87C8A">
        <w:trPr>
          <w:trHeight w:val="539"/>
        </w:trPr>
        <w:tc>
          <w:tcPr>
            <w:tcW w:w="1695" w:type="dxa"/>
            <w:tcBorders>
              <w:top w:val="nil"/>
              <w:left w:val="single" w:sz="4" w:space="0" w:color="auto"/>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创新人才培养</w:t>
            </w:r>
          </w:p>
        </w:tc>
        <w:tc>
          <w:tcPr>
            <w:tcW w:w="1140"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体育学院</w:t>
            </w:r>
          </w:p>
        </w:tc>
        <w:tc>
          <w:tcPr>
            <w:tcW w:w="2157"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研究生暑期学校专项经费</w:t>
            </w:r>
          </w:p>
        </w:tc>
        <w:tc>
          <w:tcPr>
            <w:tcW w:w="1276"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15.00</w:t>
            </w:r>
          </w:p>
        </w:tc>
        <w:tc>
          <w:tcPr>
            <w:tcW w:w="1276"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12.60</w:t>
            </w:r>
          </w:p>
        </w:tc>
        <w:tc>
          <w:tcPr>
            <w:tcW w:w="1134"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84.00%</w:t>
            </w:r>
          </w:p>
        </w:tc>
      </w:tr>
      <w:tr w:rsidR="00B87C8A">
        <w:trPr>
          <w:trHeight w:val="720"/>
        </w:trPr>
        <w:tc>
          <w:tcPr>
            <w:tcW w:w="1695" w:type="dxa"/>
            <w:tcBorders>
              <w:top w:val="nil"/>
              <w:left w:val="single" w:sz="4" w:space="0" w:color="auto"/>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创新人才培养</w:t>
            </w:r>
          </w:p>
        </w:tc>
        <w:tc>
          <w:tcPr>
            <w:tcW w:w="1140"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化工学院</w:t>
            </w:r>
          </w:p>
        </w:tc>
        <w:tc>
          <w:tcPr>
            <w:tcW w:w="2157"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省级研究生创新论坛</w:t>
            </w:r>
          </w:p>
        </w:tc>
        <w:tc>
          <w:tcPr>
            <w:tcW w:w="1276"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5.00</w:t>
            </w:r>
          </w:p>
        </w:tc>
        <w:tc>
          <w:tcPr>
            <w:tcW w:w="1276"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5.00</w:t>
            </w:r>
          </w:p>
        </w:tc>
        <w:tc>
          <w:tcPr>
            <w:tcW w:w="1134"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100.00%</w:t>
            </w:r>
          </w:p>
        </w:tc>
      </w:tr>
      <w:tr w:rsidR="00B87C8A">
        <w:trPr>
          <w:trHeight w:val="540"/>
        </w:trPr>
        <w:tc>
          <w:tcPr>
            <w:tcW w:w="1695" w:type="dxa"/>
            <w:tcBorders>
              <w:top w:val="nil"/>
              <w:left w:val="single" w:sz="4" w:space="0" w:color="auto"/>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创新人才培养</w:t>
            </w:r>
          </w:p>
        </w:tc>
        <w:tc>
          <w:tcPr>
            <w:tcW w:w="1140"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团委</w:t>
            </w:r>
          </w:p>
        </w:tc>
        <w:tc>
          <w:tcPr>
            <w:tcW w:w="2157"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挑战杯“大学生创业计划”专项</w:t>
            </w:r>
          </w:p>
        </w:tc>
        <w:tc>
          <w:tcPr>
            <w:tcW w:w="1276"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20.00</w:t>
            </w:r>
          </w:p>
        </w:tc>
        <w:tc>
          <w:tcPr>
            <w:tcW w:w="1276"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20.00</w:t>
            </w:r>
          </w:p>
        </w:tc>
        <w:tc>
          <w:tcPr>
            <w:tcW w:w="1134"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100.00%</w:t>
            </w:r>
          </w:p>
        </w:tc>
      </w:tr>
      <w:tr w:rsidR="00B87C8A">
        <w:trPr>
          <w:trHeight w:val="540"/>
        </w:trPr>
        <w:tc>
          <w:tcPr>
            <w:tcW w:w="1695" w:type="dxa"/>
            <w:tcBorders>
              <w:top w:val="nil"/>
              <w:left w:val="single" w:sz="4" w:space="0" w:color="auto"/>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创新人才培养</w:t>
            </w:r>
          </w:p>
        </w:tc>
        <w:tc>
          <w:tcPr>
            <w:tcW w:w="1140"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团委</w:t>
            </w:r>
          </w:p>
        </w:tc>
        <w:tc>
          <w:tcPr>
            <w:tcW w:w="2157"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大学生社会实践</w:t>
            </w:r>
          </w:p>
        </w:tc>
        <w:tc>
          <w:tcPr>
            <w:tcW w:w="1276"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25.00</w:t>
            </w:r>
          </w:p>
        </w:tc>
        <w:tc>
          <w:tcPr>
            <w:tcW w:w="1276"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25.00</w:t>
            </w:r>
          </w:p>
        </w:tc>
        <w:tc>
          <w:tcPr>
            <w:tcW w:w="1134"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100.00%</w:t>
            </w:r>
          </w:p>
        </w:tc>
      </w:tr>
      <w:tr w:rsidR="00B87C8A">
        <w:trPr>
          <w:trHeight w:val="540"/>
        </w:trPr>
        <w:tc>
          <w:tcPr>
            <w:tcW w:w="1695" w:type="dxa"/>
            <w:tcBorders>
              <w:top w:val="nil"/>
              <w:left w:val="single" w:sz="4" w:space="0" w:color="auto"/>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创新人才培养</w:t>
            </w:r>
          </w:p>
        </w:tc>
        <w:tc>
          <w:tcPr>
            <w:tcW w:w="1140"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研究生院</w:t>
            </w:r>
          </w:p>
        </w:tc>
        <w:tc>
          <w:tcPr>
            <w:tcW w:w="2157"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省级研究生教育改革项目专项经费</w:t>
            </w:r>
          </w:p>
        </w:tc>
        <w:tc>
          <w:tcPr>
            <w:tcW w:w="1276"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14.30</w:t>
            </w:r>
          </w:p>
        </w:tc>
        <w:tc>
          <w:tcPr>
            <w:tcW w:w="1276"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7.00</w:t>
            </w:r>
          </w:p>
        </w:tc>
        <w:tc>
          <w:tcPr>
            <w:tcW w:w="1134"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48.95%</w:t>
            </w:r>
          </w:p>
        </w:tc>
      </w:tr>
    </w:tbl>
    <w:p w:rsidR="00B87C8A" w:rsidRDefault="00B87C8A">
      <w:pPr>
        <w:ind w:right="420"/>
        <w:jc w:val="center"/>
        <w:rPr>
          <w:rFonts w:ascii="宋体" w:hint="default"/>
          <w:b/>
          <w:szCs w:val="21"/>
        </w:rPr>
      </w:pPr>
    </w:p>
    <w:tbl>
      <w:tblPr>
        <w:tblpPr w:leftFromText="180" w:rightFromText="180" w:vertAnchor="text" w:horzAnchor="page" w:tblpX="1894" w:tblpY="84"/>
        <w:tblW w:w="8678" w:type="dxa"/>
        <w:tblLayout w:type="fixed"/>
        <w:tblLook w:val="04A0"/>
      </w:tblPr>
      <w:tblGrid>
        <w:gridCol w:w="1695"/>
        <w:gridCol w:w="1140"/>
        <w:gridCol w:w="2157"/>
        <w:gridCol w:w="1276"/>
        <w:gridCol w:w="1276"/>
        <w:gridCol w:w="1134"/>
      </w:tblGrid>
      <w:tr w:rsidR="00B87C8A">
        <w:trPr>
          <w:trHeight w:val="540"/>
        </w:trPr>
        <w:tc>
          <w:tcPr>
            <w:tcW w:w="1695" w:type="dxa"/>
            <w:tcBorders>
              <w:top w:val="single" w:sz="4" w:space="0" w:color="auto"/>
              <w:left w:val="single" w:sz="4" w:space="0" w:color="auto"/>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创新人才培养</w:t>
            </w:r>
          </w:p>
        </w:tc>
        <w:tc>
          <w:tcPr>
            <w:tcW w:w="1140" w:type="dxa"/>
            <w:tcBorders>
              <w:top w:val="single" w:sz="4" w:space="0" w:color="auto"/>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研究生院</w:t>
            </w:r>
          </w:p>
        </w:tc>
        <w:tc>
          <w:tcPr>
            <w:tcW w:w="2157" w:type="dxa"/>
            <w:tcBorders>
              <w:top w:val="single" w:sz="4" w:space="0" w:color="auto"/>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省级研究生创新基地及创新项目专项经费</w:t>
            </w:r>
          </w:p>
        </w:tc>
        <w:tc>
          <w:tcPr>
            <w:tcW w:w="1276" w:type="dxa"/>
            <w:tcBorders>
              <w:top w:val="single" w:sz="4" w:space="0" w:color="auto"/>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46.00</w:t>
            </w:r>
          </w:p>
        </w:tc>
        <w:tc>
          <w:tcPr>
            <w:tcW w:w="1276" w:type="dxa"/>
            <w:tcBorders>
              <w:top w:val="single" w:sz="4" w:space="0" w:color="auto"/>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36.22</w:t>
            </w:r>
          </w:p>
        </w:tc>
        <w:tc>
          <w:tcPr>
            <w:tcW w:w="1134" w:type="dxa"/>
            <w:tcBorders>
              <w:top w:val="single" w:sz="4" w:space="0" w:color="auto"/>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78.74%</w:t>
            </w:r>
          </w:p>
        </w:tc>
      </w:tr>
      <w:tr w:rsidR="00B87C8A">
        <w:trPr>
          <w:trHeight w:val="540"/>
        </w:trPr>
        <w:tc>
          <w:tcPr>
            <w:tcW w:w="1695" w:type="dxa"/>
            <w:tcBorders>
              <w:top w:val="nil"/>
              <w:left w:val="single" w:sz="4" w:space="0" w:color="auto"/>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创新人才培养</w:t>
            </w:r>
          </w:p>
        </w:tc>
        <w:tc>
          <w:tcPr>
            <w:tcW w:w="1140"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招就处</w:t>
            </w:r>
          </w:p>
        </w:tc>
        <w:tc>
          <w:tcPr>
            <w:tcW w:w="2157"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互联网+竞赛专项</w:t>
            </w:r>
          </w:p>
        </w:tc>
        <w:tc>
          <w:tcPr>
            <w:tcW w:w="1276"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20.00</w:t>
            </w:r>
          </w:p>
        </w:tc>
        <w:tc>
          <w:tcPr>
            <w:tcW w:w="1276"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8.49</w:t>
            </w:r>
          </w:p>
        </w:tc>
        <w:tc>
          <w:tcPr>
            <w:tcW w:w="1134"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42.47%</w:t>
            </w:r>
          </w:p>
        </w:tc>
      </w:tr>
      <w:tr w:rsidR="00B87C8A">
        <w:trPr>
          <w:trHeight w:val="540"/>
        </w:trPr>
        <w:tc>
          <w:tcPr>
            <w:tcW w:w="1695" w:type="dxa"/>
            <w:tcBorders>
              <w:top w:val="nil"/>
              <w:left w:val="single" w:sz="4" w:space="0" w:color="auto"/>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科学研究</w:t>
            </w:r>
          </w:p>
        </w:tc>
        <w:tc>
          <w:tcPr>
            <w:tcW w:w="1140"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科技处</w:t>
            </w:r>
          </w:p>
        </w:tc>
        <w:tc>
          <w:tcPr>
            <w:tcW w:w="2157"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科研平台运行经费</w:t>
            </w:r>
          </w:p>
        </w:tc>
        <w:tc>
          <w:tcPr>
            <w:tcW w:w="1276"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41.50</w:t>
            </w:r>
          </w:p>
        </w:tc>
        <w:tc>
          <w:tcPr>
            <w:tcW w:w="1276"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41.50</w:t>
            </w:r>
          </w:p>
        </w:tc>
        <w:tc>
          <w:tcPr>
            <w:tcW w:w="1134"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100.00%</w:t>
            </w:r>
          </w:p>
        </w:tc>
      </w:tr>
      <w:tr w:rsidR="00B87C8A">
        <w:trPr>
          <w:trHeight w:val="540"/>
        </w:trPr>
        <w:tc>
          <w:tcPr>
            <w:tcW w:w="1695" w:type="dxa"/>
            <w:tcBorders>
              <w:top w:val="nil"/>
              <w:left w:val="single" w:sz="4" w:space="0" w:color="auto"/>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科学研究</w:t>
            </w:r>
          </w:p>
        </w:tc>
        <w:tc>
          <w:tcPr>
            <w:tcW w:w="1140"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科技处</w:t>
            </w:r>
          </w:p>
        </w:tc>
        <w:tc>
          <w:tcPr>
            <w:tcW w:w="2157"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校级、教育厅课题</w:t>
            </w:r>
          </w:p>
        </w:tc>
        <w:tc>
          <w:tcPr>
            <w:tcW w:w="1276"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133.04</w:t>
            </w:r>
          </w:p>
        </w:tc>
        <w:tc>
          <w:tcPr>
            <w:tcW w:w="1276"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130.81</w:t>
            </w:r>
          </w:p>
        </w:tc>
        <w:tc>
          <w:tcPr>
            <w:tcW w:w="1134"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98.32%</w:t>
            </w:r>
          </w:p>
        </w:tc>
      </w:tr>
      <w:tr w:rsidR="00B87C8A">
        <w:trPr>
          <w:trHeight w:val="540"/>
        </w:trPr>
        <w:tc>
          <w:tcPr>
            <w:tcW w:w="1695" w:type="dxa"/>
            <w:tcBorders>
              <w:top w:val="nil"/>
              <w:left w:val="single" w:sz="4" w:space="0" w:color="auto"/>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科学研究</w:t>
            </w:r>
          </w:p>
        </w:tc>
        <w:tc>
          <w:tcPr>
            <w:tcW w:w="1140"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社会科学处</w:t>
            </w:r>
          </w:p>
        </w:tc>
        <w:tc>
          <w:tcPr>
            <w:tcW w:w="2157"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教育厅课题经费</w:t>
            </w:r>
          </w:p>
        </w:tc>
        <w:tc>
          <w:tcPr>
            <w:tcW w:w="1276"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80.75</w:t>
            </w:r>
          </w:p>
        </w:tc>
        <w:tc>
          <w:tcPr>
            <w:tcW w:w="1276"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73.37</w:t>
            </w:r>
          </w:p>
        </w:tc>
        <w:tc>
          <w:tcPr>
            <w:tcW w:w="1134"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90.87%</w:t>
            </w:r>
          </w:p>
        </w:tc>
      </w:tr>
      <w:tr w:rsidR="00B87C8A">
        <w:trPr>
          <w:trHeight w:val="540"/>
        </w:trPr>
        <w:tc>
          <w:tcPr>
            <w:tcW w:w="1695" w:type="dxa"/>
            <w:tcBorders>
              <w:top w:val="nil"/>
              <w:left w:val="single" w:sz="4" w:space="0" w:color="auto"/>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科学研究</w:t>
            </w:r>
          </w:p>
        </w:tc>
        <w:tc>
          <w:tcPr>
            <w:tcW w:w="1140"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社会科学处</w:t>
            </w:r>
          </w:p>
        </w:tc>
        <w:tc>
          <w:tcPr>
            <w:tcW w:w="2157"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科研平台运行经费</w:t>
            </w:r>
          </w:p>
        </w:tc>
        <w:tc>
          <w:tcPr>
            <w:tcW w:w="1276"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78.00</w:t>
            </w:r>
          </w:p>
        </w:tc>
        <w:tc>
          <w:tcPr>
            <w:tcW w:w="1276"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76.33</w:t>
            </w:r>
          </w:p>
        </w:tc>
        <w:tc>
          <w:tcPr>
            <w:tcW w:w="1134"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97.86%</w:t>
            </w:r>
          </w:p>
        </w:tc>
      </w:tr>
      <w:tr w:rsidR="00B87C8A">
        <w:trPr>
          <w:trHeight w:val="615"/>
        </w:trPr>
        <w:tc>
          <w:tcPr>
            <w:tcW w:w="1695" w:type="dxa"/>
            <w:tcBorders>
              <w:top w:val="nil"/>
              <w:left w:val="single" w:sz="4" w:space="0" w:color="auto"/>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思想文化传承</w:t>
            </w:r>
          </w:p>
        </w:tc>
        <w:tc>
          <w:tcPr>
            <w:tcW w:w="1140"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宣传部</w:t>
            </w:r>
          </w:p>
        </w:tc>
        <w:tc>
          <w:tcPr>
            <w:tcW w:w="2157"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双一流思政方向</w:t>
            </w:r>
          </w:p>
        </w:tc>
        <w:tc>
          <w:tcPr>
            <w:tcW w:w="1276"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20.00</w:t>
            </w:r>
          </w:p>
        </w:tc>
        <w:tc>
          <w:tcPr>
            <w:tcW w:w="1276"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cs="宋体"/>
                <w:kern w:val="0"/>
                <w:sz w:val="20"/>
                <w:szCs w:val="20"/>
              </w:rPr>
              <w:t>0.00</w:t>
            </w:r>
          </w:p>
        </w:tc>
        <w:tc>
          <w:tcPr>
            <w:tcW w:w="1134"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0.00%</w:t>
            </w:r>
          </w:p>
        </w:tc>
      </w:tr>
      <w:tr w:rsidR="00B87C8A">
        <w:trPr>
          <w:trHeight w:val="540"/>
        </w:trPr>
        <w:tc>
          <w:tcPr>
            <w:tcW w:w="4992" w:type="dxa"/>
            <w:gridSpan w:val="3"/>
            <w:tcBorders>
              <w:top w:val="single" w:sz="4" w:space="0" w:color="auto"/>
              <w:left w:val="single" w:sz="4" w:space="0" w:color="auto"/>
              <w:bottom w:val="single" w:sz="4" w:space="0" w:color="auto"/>
              <w:right w:val="single" w:sz="4" w:space="0" w:color="000000"/>
              <w:tl2br w:val="nil"/>
              <w:tr2bl w:val="nil"/>
            </w:tcBorders>
            <w:noWrap/>
            <w:vAlign w:val="center"/>
          </w:tcPr>
          <w:p w:rsidR="00B87C8A" w:rsidRDefault="002D1C8A">
            <w:pPr>
              <w:widowControl/>
              <w:ind w:firstLine="0"/>
              <w:jc w:val="center"/>
              <w:rPr>
                <w:rFonts w:ascii="宋体" w:cs="宋体" w:hint="default"/>
                <w:kern w:val="0"/>
                <w:sz w:val="20"/>
                <w:szCs w:val="20"/>
              </w:rPr>
            </w:pPr>
            <w:r>
              <w:rPr>
                <w:rFonts w:ascii="宋体" w:hAnsi="宋体" w:cs="宋体"/>
                <w:kern w:val="0"/>
                <w:sz w:val="20"/>
                <w:szCs w:val="20"/>
              </w:rPr>
              <w:t>合  计</w:t>
            </w:r>
          </w:p>
        </w:tc>
        <w:tc>
          <w:tcPr>
            <w:tcW w:w="1276" w:type="dxa"/>
            <w:tcBorders>
              <w:top w:val="nil"/>
              <w:left w:val="single" w:sz="4" w:space="0" w:color="auto"/>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5,326.39</w:t>
            </w:r>
          </w:p>
        </w:tc>
        <w:tc>
          <w:tcPr>
            <w:tcW w:w="1276"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4,284.82</w:t>
            </w:r>
          </w:p>
        </w:tc>
        <w:tc>
          <w:tcPr>
            <w:tcW w:w="1134" w:type="dxa"/>
            <w:tcBorders>
              <w:top w:val="nil"/>
              <w:left w:val="nil"/>
              <w:bottom w:val="single" w:sz="4" w:space="0" w:color="auto"/>
              <w:right w:val="single" w:sz="4" w:space="0" w:color="auto"/>
              <w:tl2br w:val="nil"/>
              <w:tr2bl w:val="nil"/>
            </w:tcBorders>
            <w:noWrap/>
            <w:vAlign w:val="center"/>
          </w:tcPr>
          <w:p w:rsidR="00B87C8A" w:rsidRDefault="002D1C8A">
            <w:pPr>
              <w:widowControl/>
              <w:ind w:firstLine="0"/>
              <w:rPr>
                <w:rFonts w:ascii="宋体" w:cs="宋体" w:hint="default"/>
                <w:kern w:val="0"/>
                <w:sz w:val="20"/>
                <w:szCs w:val="20"/>
              </w:rPr>
            </w:pPr>
            <w:r>
              <w:rPr>
                <w:rFonts w:ascii="宋体" w:hAnsi="宋体" w:cs="宋体"/>
                <w:kern w:val="0"/>
                <w:sz w:val="20"/>
                <w:szCs w:val="20"/>
              </w:rPr>
              <w:t>80.45%</w:t>
            </w:r>
          </w:p>
        </w:tc>
      </w:tr>
    </w:tbl>
    <w:p w:rsidR="00B87C8A" w:rsidRDefault="00B87C8A">
      <w:pPr>
        <w:adjustRightInd w:val="0"/>
        <w:snapToGrid w:val="0"/>
        <w:rPr>
          <w:rFonts w:ascii="宋体" w:hint="default"/>
          <w:sz w:val="18"/>
          <w:szCs w:val="18"/>
        </w:rPr>
      </w:pPr>
    </w:p>
    <w:p w:rsidR="00B87C8A" w:rsidRDefault="00B87C8A">
      <w:pPr>
        <w:adjustRightInd w:val="0"/>
        <w:snapToGrid w:val="0"/>
        <w:ind w:leftChars="1300" w:left="2730" w:firstLineChars="200" w:firstLine="360"/>
        <w:jc w:val="center"/>
        <w:rPr>
          <w:rFonts w:ascii="宋体" w:hint="default"/>
          <w:sz w:val="18"/>
          <w:szCs w:val="18"/>
        </w:rPr>
      </w:pPr>
    </w:p>
    <w:p w:rsidR="00B87C8A" w:rsidRDefault="002D1C8A">
      <w:pPr>
        <w:adjustRightInd w:val="0"/>
        <w:snapToGrid w:val="0"/>
        <w:spacing w:line="360" w:lineRule="auto"/>
        <w:ind w:firstLineChars="200" w:firstLine="560"/>
        <w:rPr>
          <w:rFonts w:ascii="宋体" w:hint="default"/>
          <w:sz w:val="28"/>
          <w:szCs w:val="28"/>
        </w:rPr>
      </w:pPr>
      <w:r>
        <w:rPr>
          <w:rFonts w:ascii="宋体" w:hAnsi="宋体" w:cs="宋体"/>
          <w:sz w:val="28"/>
          <w:szCs w:val="28"/>
        </w:rPr>
        <w:t>双一流专项项目执行率为80.45%，主要影响因素是学科、科研、思政课题等项目有2-3年的项目执行建设周期，留有部分经费用于后期相</w:t>
      </w:r>
      <w:r>
        <w:rPr>
          <w:rFonts w:ascii="宋体" w:hAnsi="宋体" w:cs="宋体"/>
          <w:sz w:val="28"/>
          <w:szCs w:val="28"/>
        </w:rPr>
        <w:lastRenderedPageBreak/>
        <w:t>关事项开支。</w:t>
      </w:r>
    </w:p>
    <w:p w:rsidR="00B87C8A" w:rsidRDefault="002D1C8A">
      <w:pPr>
        <w:spacing w:line="360" w:lineRule="auto"/>
        <w:ind w:firstLineChars="200" w:firstLine="562"/>
        <w:rPr>
          <w:rFonts w:ascii="宋体" w:cs="黑体" w:hint="default"/>
          <w:kern w:val="0"/>
          <w:sz w:val="28"/>
          <w:szCs w:val="28"/>
        </w:rPr>
      </w:pPr>
      <w:r>
        <w:rPr>
          <w:rFonts w:ascii="宋体" w:hAnsi="宋体" w:cs="宋体"/>
          <w:b/>
          <w:kern w:val="0"/>
          <w:sz w:val="28"/>
          <w:szCs w:val="28"/>
        </w:rPr>
        <w:t>（三）2021年度主要工作成效</w:t>
      </w:r>
    </w:p>
    <w:p w:rsidR="00B87C8A" w:rsidRDefault="002D1C8A">
      <w:pPr>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1、坚持党的领导 加强党建引领</w:t>
      </w:r>
    </w:p>
    <w:p w:rsidR="00B87C8A" w:rsidRDefault="002D1C8A">
      <w:pPr>
        <w:adjustRightInd w:val="0"/>
        <w:snapToGrid w:val="0"/>
        <w:spacing w:line="360" w:lineRule="auto"/>
        <w:ind w:firstLineChars="200" w:firstLine="560"/>
        <w:rPr>
          <w:rFonts w:ascii="宋体" w:cs="黑体" w:hint="default"/>
          <w:kern w:val="0"/>
          <w:sz w:val="28"/>
          <w:szCs w:val="28"/>
        </w:rPr>
      </w:pPr>
      <w:r>
        <w:rPr>
          <w:rFonts w:ascii="宋体" w:hAnsi="宋体" w:cs="宋体"/>
          <w:kern w:val="0"/>
          <w:sz w:val="28"/>
          <w:szCs w:val="28"/>
        </w:rPr>
        <w:t>认真落实中央和省委加强政治建设的各项要求，学习宣传贯彻党的十九届六中全会精神、湖南省第十二次党代会精神，忠诚拥护“两个确立”、坚决做到“两个维护”、树牢“四个意识”、坚定“四个自信”，坚持“立德树人”根本任务。着力加强党建工作，成立了机关党委，不断加强机关党支部的建设，推进党建品牌活动体系化建设，围绕党史学习教育组织开展了党史学习“六百工程”。</w:t>
      </w:r>
    </w:p>
    <w:p w:rsidR="00B87C8A" w:rsidRDefault="002D1C8A">
      <w:pPr>
        <w:adjustRightInd w:val="0"/>
        <w:snapToGrid w:val="0"/>
        <w:spacing w:line="360" w:lineRule="auto"/>
        <w:ind w:firstLineChars="200" w:firstLine="560"/>
        <w:rPr>
          <w:rFonts w:ascii="宋体" w:cs="黑体" w:hint="default"/>
          <w:kern w:val="0"/>
          <w:sz w:val="28"/>
          <w:szCs w:val="28"/>
        </w:rPr>
      </w:pPr>
      <w:r>
        <w:rPr>
          <w:rFonts w:ascii="宋体" w:hAnsi="宋体" w:cs="宋体"/>
          <w:kern w:val="0"/>
          <w:sz w:val="28"/>
          <w:szCs w:val="28"/>
        </w:rPr>
        <w:t>2、大力弘扬社会主义核心价值观</w:t>
      </w:r>
    </w:p>
    <w:p w:rsidR="00B87C8A" w:rsidRDefault="002D1C8A">
      <w:pPr>
        <w:adjustRightInd w:val="0"/>
        <w:snapToGrid w:val="0"/>
        <w:spacing w:line="360" w:lineRule="auto"/>
        <w:ind w:firstLineChars="200" w:firstLine="560"/>
        <w:rPr>
          <w:rFonts w:ascii="宋体" w:cs="黑体" w:hint="default"/>
          <w:kern w:val="0"/>
          <w:sz w:val="28"/>
          <w:szCs w:val="28"/>
        </w:rPr>
      </w:pPr>
      <w:r>
        <w:rPr>
          <w:rFonts w:ascii="宋体" w:hAnsi="宋体" w:cs="宋体"/>
          <w:kern w:val="0"/>
          <w:sz w:val="28"/>
          <w:szCs w:val="28"/>
        </w:rPr>
        <w:t>大力弘扬社会主义核心价值观。积极推进“三全育人”综合改革，深入实施“五育人工程”，持续开展“万名师生走进武陵山”社会实践服务品牌活动，获评全国“优秀单位”、“优秀团队”。积极开展思想政治理论课调查研究，建立了严密的网络媒体管理监控体系。</w:t>
      </w:r>
    </w:p>
    <w:p w:rsidR="00B87C8A" w:rsidRDefault="002D1C8A">
      <w:pPr>
        <w:adjustRightInd w:val="0"/>
        <w:snapToGrid w:val="0"/>
        <w:spacing w:line="360" w:lineRule="auto"/>
        <w:ind w:firstLineChars="200" w:firstLine="560"/>
        <w:rPr>
          <w:rFonts w:ascii="宋体" w:cs="黑体" w:hint="default"/>
          <w:kern w:val="0"/>
          <w:sz w:val="28"/>
          <w:szCs w:val="28"/>
        </w:rPr>
      </w:pPr>
      <w:r>
        <w:rPr>
          <w:rFonts w:ascii="宋体" w:hAnsi="宋体" w:cs="宋体"/>
          <w:kern w:val="0"/>
          <w:sz w:val="28"/>
          <w:szCs w:val="28"/>
        </w:rPr>
        <w:t>3、制度体制不断深化</w:t>
      </w:r>
    </w:p>
    <w:p w:rsidR="00B87C8A" w:rsidRDefault="002D1C8A">
      <w:pPr>
        <w:adjustRightInd w:val="0"/>
        <w:snapToGrid w:val="0"/>
        <w:spacing w:line="360" w:lineRule="auto"/>
        <w:ind w:firstLineChars="200" w:firstLine="560"/>
        <w:rPr>
          <w:rFonts w:ascii="宋体" w:cs="黑体" w:hint="default"/>
          <w:kern w:val="0"/>
          <w:sz w:val="28"/>
          <w:szCs w:val="28"/>
        </w:rPr>
      </w:pPr>
      <w:r>
        <w:rPr>
          <w:rFonts w:ascii="宋体" w:hAnsi="宋体" w:cs="宋体"/>
          <w:kern w:val="0"/>
          <w:sz w:val="28"/>
          <w:szCs w:val="28"/>
        </w:rPr>
        <w:t>制定了《吉首大学贯彻落实&lt;深化落实新时代教育评价改革总体方案&gt;的工作方案》《吉首大学一流本科专业建设管理办法》《吉首大学学位评定委员会章程》，修订了《吉首大学教学奖励办法》《吉首大学研究生学籍管理规定》。积极推进学校“十四五”及中长期发展规划的编制工作，制订了《吉首大学编制十四五规划推进方案》，出台了《中共吉首大学委员会关于制定学校“十四五”发展规划和二〇三五年远景目标的意见》。</w:t>
      </w:r>
    </w:p>
    <w:p w:rsidR="00B87C8A" w:rsidRDefault="002D1C8A">
      <w:pPr>
        <w:adjustRightInd w:val="0"/>
        <w:snapToGrid w:val="0"/>
        <w:spacing w:line="360" w:lineRule="auto"/>
        <w:ind w:firstLineChars="200" w:firstLine="560"/>
        <w:rPr>
          <w:rFonts w:ascii="宋体" w:cs="黑体" w:hint="default"/>
          <w:kern w:val="0"/>
          <w:sz w:val="28"/>
          <w:szCs w:val="28"/>
        </w:rPr>
      </w:pPr>
      <w:r>
        <w:rPr>
          <w:rFonts w:ascii="宋体" w:hAnsi="宋体" w:cs="宋体"/>
          <w:kern w:val="0"/>
          <w:sz w:val="28"/>
          <w:szCs w:val="28"/>
        </w:rPr>
        <w:t>4、学科建设稳步推进</w:t>
      </w:r>
    </w:p>
    <w:p w:rsidR="00B87C8A" w:rsidRDefault="002D1C8A">
      <w:pPr>
        <w:adjustRightInd w:val="0"/>
        <w:snapToGrid w:val="0"/>
        <w:spacing w:line="360" w:lineRule="auto"/>
        <w:ind w:firstLineChars="200" w:firstLine="560"/>
        <w:rPr>
          <w:rFonts w:ascii="宋体" w:cs="黑体" w:hint="default"/>
          <w:kern w:val="0"/>
          <w:sz w:val="28"/>
          <w:szCs w:val="28"/>
        </w:rPr>
      </w:pPr>
      <w:r>
        <w:rPr>
          <w:rFonts w:ascii="宋体" w:hAnsi="宋体" w:cs="宋体"/>
          <w:kern w:val="0"/>
          <w:sz w:val="28"/>
          <w:szCs w:val="28"/>
        </w:rPr>
        <w:t>按照“整密联系、统筹兼顾、分层择优、整合申报”的原则，做好</w:t>
      </w:r>
      <w:r>
        <w:rPr>
          <w:rFonts w:ascii="宋体" w:hAnsi="宋体" w:cs="宋体"/>
          <w:kern w:val="0"/>
          <w:sz w:val="28"/>
          <w:szCs w:val="28"/>
        </w:rPr>
        <w:lastRenderedPageBreak/>
        <w:t>了体育学、民族学、生态学等12个学科参评第五轮学科评估申报工作，以之促进学科布局的进一步优化。实施学位点动态调整和培育计划，申报获得“信息与通信工程”一级学科硕士点，“生物与医药”“材料与化工”“资源与环境”“风景园林”等4个专业学位授权类别，撤销“哲学”和“林业工程”等2个一级学科硕士点，增列“新闻传播学”和“基础医学”等2个一级学科硕士点。</w:t>
      </w:r>
    </w:p>
    <w:p w:rsidR="00B87C8A" w:rsidRDefault="002D1C8A">
      <w:pPr>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5、专业建设不断加强</w:t>
      </w:r>
    </w:p>
    <w:p w:rsidR="00B87C8A" w:rsidRDefault="002D1C8A">
      <w:pPr>
        <w:spacing w:line="360" w:lineRule="auto"/>
        <w:ind w:firstLineChars="200" w:firstLine="560"/>
        <w:rPr>
          <w:rFonts w:ascii="宋体" w:cs="黑体" w:hint="default"/>
          <w:kern w:val="0"/>
          <w:sz w:val="28"/>
          <w:szCs w:val="28"/>
        </w:rPr>
      </w:pPr>
      <w:r>
        <w:rPr>
          <w:rFonts w:ascii="宋体" w:hAnsi="宋体" w:cs="宋体"/>
          <w:kern w:val="0"/>
          <w:sz w:val="28"/>
          <w:szCs w:val="28"/>
        </w:rPr>
        <w:t>目前已立项8个国家级一流专业建设点，24个省级一流专业，2021年组织、指导学院申报省级国家级一流本科专业，经济学、思想政治教育等21个专业获推荐参评国家级一流专业。同时加强专业课程建设改革，《花样跳绳》等36门课程被认定为湖南省一流本科课程，积极推进汉语言文学和食品科学与技术专业认证。适当控制招生专业，对专业评估不合格、社会需求不旺盛、招生就业形势不好、专业办学水平不高的19个专业进行了停招。</w:t>
      </w:r>
    </w:p>
    <w:p w:rsidR="00B87C8A" w:rsidRDefault="002D1C8A">
      <w:pPr>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 xml:space="preserve">   6、人才培养成果突出                                                        </w:t>
      </w:r>
    </w:p>
    <w:p w:rsidR="00B87C8A" w:rsidRDefault="002D1C8A">
      <w:pPr>
        <w:adjustRightInd w:val="0"/>
        <w:snapToGrid w:val="0"/>
        <w:spacing w:line="360" w:lineRule="auto"/>
        <w:ind w:firstLineChars="200" w:firstLine="560"/>
        <w:rPr>
          <w:rFonts w:ascii="宋体" w:cs="黑体" w:hint="default"/>
          <w:kern w:val="0"/>
          <w:sz w:val="28"/>
          <w:szCs w:val="28"/>
        </w:rPr>
      </w:pPr>
      <w:r>
        <w:rPr>
          <w:rFonts w:ascii="宋体" w:hAnsi="宋体" w:cs="宋体"/>
          <w:kern w:val="0"/>
          <w:sz w:val="28"/>
          <w:szCs w:val="28"/>
        </w:rPr>
        <w:t>组织大学生研究性学习和创新性实验计划项目申报工作，获国家级29项、省级59项，立项情况为我校历年最好。组织学生参加省级及以上学科竞赛，截至目前，共获省级国家级奖项650项，其中国家级一等奖10项，二等奖37项，三等奖50项，省级特等奖4项、一等奖101项、二等奖191项、三等奖257项。学生在“互联网+”创业大赛中获国家级铜奖1项、省级二等奖1项、三等奖2项。在“挑战杯”竞赛中获全国一等奖1项，三等奖1项，两项作品入围全国主赛道终审决赛，实现了社科类作品全国挑战杯一等奖的历史性突破，获省级一等奖2项、二等奖3项、三等奖7项，学校获评省赛“优胜杯”，分获主赛道和红</w:t>
      </w:r>
      <w:r>
        <w:rPr>
          <w:rFonts w:ascii="宋体" w:hAnsi="宋体" w:cs="宋体"/>
          <w:kern w:val="0"/>
          <w:sz w:val="28"/>
          <w:szCs w:val="28"/>
        </w:rPr>
        <w:lastRenderedPageBreak/>
        <w:t>色赛道两个“优秀组织奖”。素质教育不断推进，本年度开出线下通识选修课程152门，其中新开课程30门；与超星、智慧树等公司合作，开出线上通识选修课程100门。选修学生人次高达52962。扎实推进“双百工程”，举行了佳片鉴赏会、电影沙龙、主题电影衍生创作大赛、名著读书会等活动。举办了5期“立人读书沙龙”，邀请刘海平、武吉蓉等校内外专家学者进行讲座，得到参与师生的一致肯定。</w:t>
      </w:r>
    </w:p>
    <w:p w:rsidR="00B87C8A" w:rsidRDefault="002D1C8A">
      <w:pPr>
        <w:spacing w:line="360" w:lineRule="auto"/>
        <w:ind w:firstLineChars="200" w:firstLine="560"/>
        <w:rPr>
          <w:rFonts w:ascii="宋体" w:cs="黑体" w:hint="default"/>
          <w:kern w:val="0"/>
          <w:sz w:val="28"/>
          <w:szCs w:val="28"/>
        </w:rPr>
      </w:pPr>
      <w:r>
        <w:rPr>
          <w:rFonts w:ascii="宋体" w:hAnsi="宋体" w:cs="宋体"/>
          <w:kern w:val="0"/>
          <w:sz w:val="28"/>
          <w:szCs w:val="28"/>
        </w:rPr>
        <w:t>7、科研与社会服务再上新台阶</w:t>
      </w:r>
    </w:p>
    <w:p w:rsidR="00B87C8A" w:rsidRDefault="002D1C8A">
      <w:pPr>
        <w:spacing w:line="360" w:lineRule="auto"/>
        <w:ind w:firstLineChars="200" w:firstLine="560"/>
        <w:rPr>
          <w:rFonts w:ascii="宋体" w:cs="黑体" w:hint="default"/>
          <w:kern w:val="0"/>
          <w:sz w:val="28"/>
          <w:szCs w:val="28"/>
        </w:rPr>
      </w:pPr>
      <w:r>
        <w:rPr>
          <w:rFonts w:ascii="宋体" w:hAnsi="宋体" w:cs="宋体"/>
          <w:kern w:val="0"/>
          <w:sz w:val="28"/>
          <w:szCs w:val="28"/>
        </w:rPr>
        <w:t>紧扣湖南“三高四新”战略，促进科技成果就地转化，全年科研课题立项287项，获项目经费2368.38万元，其中国家自科基金项目20项，国家社科基金项目16项，重点项目1项。“沈从文与湘西文艺研究中心”“武陵山区乡村振兴与区域发展研究中心”2个平台获批新立项，“乡村振兴研究中心”获批湖南省社会科学创新研究基地。获省优秀青年社会科学专家1名，省优秀社科成果奖23项，省自然科学奖5项。学报两刊学术质量稳中有升，各类文献计量评价数据位居同类期刊前列。主动聚焦乡村振兴战略，建立了与永顺县润雅乡五官村的上下联动及振兴帮扶工作机制，助力永顺莓茶产业的发展。充分发挥“湖南乡村振兴战略研究中心”“武陵山区发展论坛”等平台的作用，围绕乡村振兴、民族团结进步创建、筑牢中华民族共同体意识等开展20多场次辅导报告、学术讲座和咨询服务。全面深化校地合作，建立校地合作联席会议机制，成立校地合作工作专班推动校地合作具体事项落地落实。</w:t>
      </w:r>
    </w:p>
    <w:p w:rsidR="00B87C8A" w:rsidRDefault="002D1C8A">
      <w:pPr>
        <w:spacing w:line="360" w:lineRule="auto"/>
        <w:ind w:firstLineChars="200" w:firstLine="560"/>
        <w:rPr>
          <w:rFonts w:ascii="宋体" w:cs="黑体" w:hint="default"/>
          <w:kern w:val="0"/>
          <w:sz w:val="28"/>
          <w:szCs w:val="28"/>
        </w:rPr>
      </w:pPr>
      <w:r>
        <w:rPr>
          <w:rFonts w:ascii="宋体" w:hAnsi="宋体" w:cs="宋体"/>
          <w:kern w:val="0"/>
          <w:sz w:val="28"/>
          <w:szCs w:val="28"/>
        </w:rPr>
        <w:t>8、人才队伍素质明显提升</w:t>
      </w:r>
    </w:p>
    <w:p w:rsidR="00B87C8A" w:rsidRDefault="002D1C8A">
      <w:pPr>
        <w:spacing w:line="360" w:lineRule="auto"/>
        <w:ind w:firstLineChars="200" w:firstLine="560"/>
        <w:rPr>
          <w:rFonts w:ascii="宋体" w:cs="黑体" w:hint="default"/>
          <w:kern w:val="0"/>
          <w:sz w:val="28"/>
          <w:szCs w:val="28"/>
        </w:rPr>
      </w:pPr>
      <w:r>
        <w:rPr>
          <w:rFonts w:ascii="宋体" w:hAnsi="宋体" w:cs="宋体"/>
          <w:kern w:val="0"/>
          <w:sz w:val="28"/>
          <w:szCs w:val="28"/>
        </w:rPr>
        <w:t>全年引进博士10名，推荐、考取博士25人，学成返校博士18人。以效率为导向，兼顾历史贡献，修订完善了俊彦人才计划，提高了入选门槛，明确了入选期间的任务要求，启动俊彦人才工程的阶段性和聘期</w:t>
      </w:r>
      <w:r>
        <w:rPr>
          <w:rFonts w:ascii="宋体" w:hAnsi="宋体" w:cs="宋体"/>
          <w:kern w:val="0"/>
          <w:sz w:val="28"/>
          <w:szCs w:val="28"/>
        </w:rPr>
        <w:lastRenderedPageBreak/>
        <w:t>考核，稳定了一批学科带头人和学术骨干。全年共办理60余人的教育培训审批手续，考取博士24人；教育部2021年“高校思想政治工作骨干在职攻读博士学位专项计划”项目推荐1人；实施课程进修和学术访问4人。资助：省芙蓉学者9人、省芙蓉教学名师1人、湖湘青年英才支持计划4人、湖湘高层次人才聚集工程1人、高端人才1人、30名教师获湖南省青年骨干教师。</w:t>
      </w:r>
    </w:p>
    <w:p w:rsidR="00B87C8A" w:rsidRDefault="00B87C8A">
      <w:pPr>
        <w:spacing w:line="360" w:lineRule="auto"/>
        <w:ind w:firstLineChars="200" w:firstLine="560"/>
        <w:rPr>
          <w:rFonts w:ascii="宋体" w:cs="黑体" w:hint="default"/>
          <w:kern w:val="0"/>
          <w:sz w:val="28"/>
          <w:szCs w:val="28"/>
        </w:rPr>
      </w:pPr>
    </w:p>
    <w:p w:rsidR="00B87C8A" w:rsidRDefault="00B87C8A">
      <w:pPr>
        <w:autoSpaceDE w:val="0"/>
        <w:autoSpaceDN w:val="0"/>
        <w:adjustRightInd w:val="0"/>
        <w:spacing w:line="360" w:lineRule="auto"/>
        <w:ind w:firstLineChars="200" w:firstLine="640"/>
        <w:rPr>
          <w:rFonts w:ascii="宋体" w:hAnsi="Times New Roman" w:cs="宋体" w:hint="default"/>
          <w:sz w:val="32"/>
          <w:szCs w:val="32"/>
        </w:rPr>
      </w:pPr>
    </w:p>
    <w:p w:rsidR="00B87C8A" w:rsidRDefault="00B87C8A">
      <w:pPr>
        <w:keepNext/>
        <w:keepLines/>
        <w:autoSpaceDE w:val="0"/>
        <w:autoSpaceDN w:val="0"/>
        <w:adjustRightInd w:val="0"/>
        <w:spacing w:line="360" w:lineRule="auto"/>
        <w:ind w:firstLineChars="200" w:firstLine="560"/>
        <w:rPr>
          <w:rFonts w:ascii="宋体" w:hAnsi="宋体" w:cs="宋体" w:hint="default"/>
          <w:kern w:val="0"/>
          <w:sz w:val="28"/>
          <w:szCs w:val="28"/>
        </w:rPr>
        <w:sectPr w:rsidR="00B87C8A">
          <w:pgSz w:w="12240" w:h="15840"/>
          <w:pgMar w:top="1440" w:right="1800" w:bottom="1440" w:left="1800" w:header="720" w:footer="720" w:gutter="0"/>
          <w:cols w:space="720"/>
        </w:sectPr>
      </w:pPr>
    </w:p>
    <w:p w:rsidR="00B87C8A" w:rsidRDefault="00B87C8A">
      <w:pPr>
        <w:keepNext/>
        <w:keepLines/>
        <w:autoSpaceDE w:val="0"/>
        <w:autoSpaceDN w:val="0"/>
        <w:adjustRightInd w:val="0"/>
        <w:ind w:firstLine="0"/>
        <w:rPr>
          <w:rFonts w:ascii="黑体" w:eastAsia="黑体" w:cs="黑体" w:hint="default"/>
          <w:sz w:val="84"/>
          <w:szCs w:val="84"/>
        </w:rPr>
      </w:pPr>
    </w:p>
    <w:p w:rsidR="00B87C8A" w:rsidRDefault="00B87C8A">
      <w:pPr>
        <w:keepNext/>
        <w:keepLines/>
        <w:autoSpaceDE w:val="0"/>
        <w:autoSpaceDN w:val="0"/>
        <w:adjustRightInd w:val="0"/>
        <w:ind w:firstLine="0"/>
        <w:rPr>
          <w:rFonts w:ascii="黑体" w:eastAsia="黑体" w:cs="黑体" w:hint="default"/>
          <w:sz w:val="84"/>
          <w:szCs w:val="84"/>
        </w:rPr>
      </w:pPr>
    </w:p>
    <w:p w:rsidR="00B87C8A" w:rsidRDefault="00B87C8A">
      <w:pPr>
        <w:keepNext/>
        <w:keepLines/>
        <w:autoSpaceDE w:val="0"/>
        <w:autoSpaceDN w:val="0"/>
        <w:adjustRightInd w:val="0"/>
        <w:ind w:firstLine="0"/>
        <w:rPr>
          <w:rFonts w:ascii="黑体" w:eastAsia="黑体" w:cs="黑体" w:hint="default"/>
          <w:sz w:val="84"/>
          <w:szCs w:val="84"/>
        </w:rPr>
      </w:pPr>
    </w:p>
    <w:p w:rsidR="00B87C8A" w:rsidRDefault="002D1C8A">
      <w:pPr>
        <w:keepNext/>
        <w:keepLines/>
        <w:autoSpaceDE w:val="0"/>
        <w:autoSpaceDN w:val="0"/>
        <w:adjustRightInd w:val="0"/>
        <w:ind w:firstLine="0"/>
        <w:jc w:val="center"/>
        <w:rPr>
          <w:rFonts w:ascii="黑体" w:eastAsia="黑体" w:cs="黑体" w:hint="default"/>
          <w:sz w:val="84"/>
          <w:szCs w:val="84"/>
        </w:rPr>
      </w:pPr>
      <w:r>
        <w:rPr>
          <w:rFonts w:ascii="黑体" w:eastAsia="黑体" w:cs="黑体"/>
          <w:sz w:val="84"/>
          <w:szCs w:val="84"/>
        </w:rPr>
        <w:t>第四部分</w:t>
      </w:r>
    </w:p>
    <w:p w:rsidR="00B87C8A" w:rsidRDefault="002D1C8A" w:rsidP="003F0F38">
      <w:pPr>
        <w:keepNext/>
        <w:keepLines/>
        <w:autoSpaceDE w:val="0"/>
        <w:autoSpaceDN w:val="0"/>
        <w:adjustRightInd w:val="0"/>
        <w:spacing w:beforeLines="100"/>
        <w:ind w:firstLine="0"/>
        <w:jc w:val="center"/>
        <w:rPr>
          <w:rFonts w:ascii="Times New Roman" w:eastAsia="黑体" w:hAnsi="Times New Roman" w:hint="default"/>
          <w:sz w:val="84"/>
          <w:szCs w:val="84"/>
        </w:rPr>
      </w:pPr>
      <w:r>
        <w:rPr>
          <w:rFonts w:ascii="黑体" w:eastAsia="黑体" w:cs="黑体"/>
          <w:sz w:val="84"/>
          <w:szCs w:val="84"/>
        </w:rPr>
        <w:t>名词解释</w:t>
      </w:r>
    </w:p>
    <w:p w:rsidR="00B87C8A" w:rsidRDefault="00B87C8A">
      <w:pPr>
        <w:keepNext/>
        <w:keepLines/>
        <w:autoSpaceDE w:val="0"/>
        <w:autoSpaceDN w:val="0"/>
        <w:adjustRightInd w:val="0"/>
        <w:spacing w:line="360" w:lineRule="auto"/>
        <w:ind w:firstLine="0"/>
        <w:rPr>
          <w:rFonts w:ascii="宋体" w:hAnsi="宋体" w:cs="宋体" w:hint="default"/>
          <w:kern w:val="0"/>
          <w:sz w:val="28"/>
          <w:szCs w:val="28"/>
        </w:rPr>
        <w:sectPr w:rsidR="00B87C8A">
          <w:pgSz w:w="12240" w:h="15840"/>
          <w:pgMar w:top="1440" w:right="1800" w:bottom="1440" w:left="1800" w:header="720" w:footer="720" w:gutter="0"/>
          <w:cols w:space="720"/>
        </w:sectPr>
      </w:pP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lastRenderedPageBreak/>
        <w:t>财政拨款收入：指本级财政当年拨付的资金。</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事业收入：指事业单位开展专业业务活动及辅助活动所取得的收入。</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其他收入：指除上述</w:t>
      </w:r>
      <w:r>
        <w:rPr>
          <w:rFonts w:ascii="宋体" w:cs="黑体"/>
          <w:kern w:val="0"/>
          <w:sz w:val="28"/>
          <w:szCs w:val="28"/>
        </w:rPr>
        <w:t>“</w:t>
      </w:r>
      <w:r>
        <w:rPr>
          <w:rFonts w:ascii="宋体" w:hAnsi="宋体" w:cs="宋体"/>
          <w:kern w:val="0"/>
          <w:sz w:val="28"/>
          <w:szCs w:val="28"/>
        </w:rPr>
        <w:t>财政拨款收入</w:t>
      </w:r>
      <w:r>
        <w:rPr>
          <w:rFonts w:ascii="宋体" w:cs="黑体"/>
          <w:kern w:val="0"/>
          <w:sz w:val="28"/>
          <w:szCs w:val="28"/>
        </w:rPr>
        <w:t>”</w:t>
      </w:r>
      <w:r>
        <w:rPr>
          <w:rFonts w:ascii="宋体" w:hAnsi="宋体" w:cs="宋体"/>
          <w:kern w:val="0"/>
          <w:sz w:val="28"/>
          <w:szCs w:val="28"/>
        </w:rPr>
        <w:t>、</w:t>
      </w:r>
      <w:r>
        <w:rPr>
          <w:rFonts w:ascii="宋体" w:cs="黑体"/>
          <w:kern w:val="0"/>
          <w:sz w:val="28"/>
          <w:szCs w:val="28"/>
        </w:rPr>
        <w:t>“</w:t>
      </w:r>
      <w:r>
        <w:rPr>
          <w:rFonts w:ascii="宋体" w:hAnsi="宋体" w:cs="宋体"/>
          <w:kern w:val="0"/>
          <w:sz w:val="28"/>
          <w:szCs w:val="28"/>
        </w:rPr>
        <w:t>上级补助收入</w:t>
      </w:r>
      <w:r>
        <w:rPr>
          <w:rFonts w:ascii="宋体" w:cs="黑体"/>
          <w:kern w:val="0"/>
          <w:sz w:val="28"/>
          <w:szCs w:val="28"/>
        </w:rPr>
        <w:t>”</w:t>
      </w:r>
      <w:r>
        <w:rPr>
          <w:rFonts w:ascii="宋体" w:hAnsi="宋体" w:cs="宋体"/>
          <w:kern w:val="0"/>
          <w:sz w:val="28"/>
          <w:szCs w:val="28"/>
        </w:rPr>
        <w:t>、</w:t>
      </w:r>
      <w:r>
        <w:rPr>
          <w:rFonts w:ascii="宋体" w:cs="黑体"/>
          <w:kern w:val="0"/>
          <w:sz w:val="28"/>
          <w:szCs w:val="28"/>
        </w:rPr>
        <w:t>“</w:t>
      </w:r>
      <w:r>
        <w:rPr>
          <w:rFonts w:ascii="宋体" w:hAnsi="宋体" w:cs="宋体"/>
          <w:kern w:val="0"/>
          <w:sz w:val="28"/>
          <w:szCs w:val="28"/>
        </w:rPr>
        <w:t>事业收入</w:t>
      </w:r>
      <w:r>
        <w:rPr>
          <w:rFonts w:ascii="宋体" w:cs="黑体"/>
          <w:kern w:val="0"/>
          <w:sz w:val="28"/>
          <w:szCs w:val="28"/>
        </w:rPr>
        <w:t>”</w:t>
      </w:r>
      <w:r>
        <w:rPr>
          <w:rFonts w:ascii="宋体" w:hAnsi="宋体" w:cs="宋体"/>
          <w:kern w:val="0"/>
          <w:sz w:val="28"/>
          <w:szCs w:val="28"/>
        </w:rPr>
        <w:t>、</w:t>
      </w:r>
      <w:r>
        <w:rPr>
          <w:rFonts w:ascii="宋体" w:cs="黑体"/>
          <w:kern w:val="0"/>
          <w:sz w:val="28"/>
          <w:szCs w:val="28"/>
        </w:rPr>
        <w:t>“</w:t>
      </w:r>
      <w:r>
        <w:rPr>
          <w:rFonts w:ascii="宋体" w:hAnsi="宋体" w:cs="宋体"/>
          <w:kern w:val="0"/>
          <w:sz w:val="28"/>
          <w:szCs w:val="28"/>
        </w:rPr>
        <w:t>经营收入</w:t>
      </w:r>
      <w:r>
        <w:rPr>
          <w:rFonts w:ascii="宋体" w:cs="黑体"/>
          <w:kern w:val="0"/>
          <w:sz w:val="28"/>
          <w:szCs w:val="28"/>
        </w:rPr>
        <w:t>”</w:t>
      </w:r>
      <w:r>
        <w:rPr>
          <w:rFonts w:ascii="宋体" w:hAnsi="宋体" w:cs="宋体"/>
          <w:kern w:val="0"/>
          <w:sz w:val="28"/>
          <w:szCs w:val="28"/>
        </w:rPr>
        <w:t>、</w:t>
      </w:r>
      <w:r>
        <w:rPr>
          <w:rFonts w:ascii="宋体" w:cs="黑体"/>
          <w:kern w:val="0"/>
          <w:sz w:val="28"/>
          <w:szCs w:val="28"/>
        </w:rPr>
        <w:t>“</w:t>
      </w:r>
      <w:r>
        <w:rPr>
          <w:rFonts w:ascii="宋体" w:hAnsi="宋体" w:cs="宋体"/>
          <w:kern w:val="0"/>
          <w:sz w:val="28"/>
          <w:szCs w:val="28"/>
        </w:rPr>
        <w:t>附属单位上缴收入</w:t>
      </w:r>
      <w:r>
        <w:rPr>
          <w:rFonts w:ascii="宋体" w:cs="黑体"/>
          <w:kern w:val="0"/>
          <w:sz w:val="28"/>
          <w:szCs w:val="28"/>
        </w:rPr>
        <w:t>”</w:t>
      </w:r>
      <w:r>
        <w:rPr>
          <w:rFonts w:ascii="宋体" w:hAnsi="宋体" w:cs="宋体"/>
          <w:kern w:val="0"/>
          <w:sz w:val="28"/>
          <w:szCs w:val="28"/>
        </w:rPr>
        <w:t>等以外的收入。</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使用非财政拨款结余：指事业单位在当年的</w:t>
      </w:r>
      <w:r>
        <w:rPr>
          <w:rFonts w:ascii="宋体" w:cs="黑体"/>
          <w:kern w:val="0"/>
          <w:sz w:val="28"/>
          <w:szCs w:val="28"/>
        </w:rPr>
        <w:t>“</w:t>
      </w:r>
      <w:r>
        <w:rPr>
          <w:rFonts w:ascii="宋体" w:hAnsi="宋体" w:cs="宋体"/>
          <w:kern w:val="0"/>
          <w:sz w:val="28"/>
          <w:szCs w:val="28"/>
        </w:rPr>
        <w:t>财政拨款收入</w:t>
      </w:r>
      <w:r>
        <w:rPr>
          <w:rFonts w:ascii="宋体" w:cs="黑体"/>
          <w:kern w:val="0"/>
          <w:sz w:val="28"/>
          <w:szCs w:val="28"/>
        </w:rPr>
        <w:t>”</w:t>
      </w:r>
      <w:r>
        <w:rPr>
          <w:rFonts w:ascii="宋体" w:hAnsi="宋体" w:cs="宋体"/>
          <w:kern w:val="0"/>
          <w:sz w:val="28"/>
          <w:szCs w:val="28"/>
        </w:rPr>
        <w:t>、</w:t>
      </w:r>
      <w:r>
        <w:rPr>
          <w:rFonts w:ascii="宋体" w:cs="黑体"/>
          <w:kern w:val="0"/>
          <w:sz w:val="28"/>
          <w:szCs w:val="28"/>
        </w:rPr>
        <w:t>“</w:t>
      </w:r>
      <w:r>
        <w:rPr>
          <w:rFonts w:ascii="宋体" w:hAnsi="宋体" w:cs="宋体"/>
          <w:kern w:val="0"/>
          <w:sz w:val="28"/>
          <w:szCs w:val="28"/>
        </w:rPr>
        <w:t>财政拨款结转和结余资金</w:t>
      </w:r>
      <w:r>
        <w:rPr>
          <w:rFonts w:ascii="宋体" w:cs="黑体"/>
          <w:kern w:val="0"/>
          <w:sz w:val="28"/>
          <w:szCs w:val="28"/>
        </w:rPr>
        <w:t>”</w:t>
      </w:r>
      <w:r>
        <w:rPr>
          <w:rFonts w:ascii="宋体" w:hAnsi="宋体" w:cs="宋体"/>
          <w:kern w:val="0"/>
          <w:sz w:val="28"/>
          <w:szCs w:val="28"/>
        </w:rPr>
        <w:t>、</w:t>
      </w:r>
      <w:r>
        <w:rPr>
          <w:rFonts w:ascii="宋体" w:cs="黑体"/>
          <w:kern w:val="0"/>
          <w:sz w:val="28"/>
          <w:szCs w:val="28"/>
        </w:rPr>
        <w:t>“</w:t>
      </w:r>
      <w:r>
        <w:rPr>
          <w:rFonts w:ascii="宋体" w:hAnsi="宋体" w:cs="宋体"/>
          <w:kern w:val="0"/>
          <w:sz w:val="28"/>
          <w:szCs w:val="28"/>
        </w:rPr>
        <w:t>上级补助收入</w:t>
      </w:r>
      <w:r>
        <w:rPr>
          <w:rFonts w:ascii="宋体" w:cs="黑体"/>
          <w:kern w:val="0"/>
          <w:sz w:val="28"/>
          <w:szCs w:val="28"/>
        </w:rPr>
        <w:t>”</w:t>
      </w:r>
      <w:r>
        <w:rPr>
          <w:rFonts w:ascii="宋体" w:hAnsi="宋体" w:cs="宋体"/>
          <w:kern w:val="0"/>
          <w:sz w:val="28"/>
          <w:szCs w:val="28"/>
        </w:rPr>
        <w:t>、</w:t>
      </w:r>
      <w:r>
        <w:rPr>
          <w:rFonts w:ascii="宋体" w:cs="黑体"/>
          <w:kern w:val="0"/>
          <w:sz w:val="28"/>
          <w:szCs w:val="28"/>
        </w:rPr>
        <w:t>“</w:t>
      </w:r>
      <w:r>
        <w:rPr>
          <w:rFonts w:ascii="宋体" w:hAnsi="宋体" w:cs="宋体"/>
          <w:kern w:val="0"/>
          <w:sz w:val="28"/>
          <w:szCs w:val="28"/>
        </w:rPr>
        <w:t>事业收入</w:t>
      </w:r>
      <w:r>
        <w:rPr>
          <w:rFonts w:ascii="宋体" w:cs="黑体"/>
          <w:kern w:val="0"/>
          <w:sz w:val="28"/>
          <w:szCs w:val="28"/>
        </w:rPr>
        <w:t>”</w:t>
      </w:r>
      <w:r>
        <w:rPr>
          <w:rFonts w:ascii="宋体" w:hAnsi="宋体" w:cs="宋体"/>
          <w:kern w:val="0"/>
          <w:sz w:val="28"/>
          <w:szCs w:val="28"/>
        </w:rPr>
        <w:t>、</w:t>
      </w:r>
      <w:r>
        <w:rPr>
          <w:rFonts w:ascii="宋体" w:cs="黑体"/>
          <w:kern w:val="0"/>
          <w:sz w:val="28"/>
          <w:szCs w:val="28"/>
        </w:rPr>
        <w:t>“</w:t>
      </w:r>
      <w:r>
        <w:rPr>
          <w:rFonts w:ascii="宋体" w:hAnsi="宋体" w:cs="宋体"/>
          <w:kern w:val="0"/>
          <w:sz w:val="28"/>
          <w:szCs w:val="28"/>
        </w:rPr>
        <w:t>经营收入</w:t>
      </w:r>
      <w:r>
        <w:rPr>
          <w:rFonts w:ascii="宋体" w:cs="黑体"/>
          <w:kern w:val="0"/>
          <w:sz w:val="28"/>
          <w:szCs w:val="28"/>
        </w:rPr>
        <w:t>”</w:t>
      </w:r>
      <w:r>
        <w:rPr>
          <w:rFonts w:ascii="宋体" w:hAnsi="宋体" w:cs="宋体"/>
          <w:kern w:val="0"/>
          <w:sz w:val="28"/>
          <w:szCs w:val="28"/>
        </w:rPr>
        <w:t>、</w:t>
      </w:r>
      <w:r>
        <w:rPr>
          <w:rFonts w:ascii="宋体" w:cs="黑体"/>
          <w:kern w:val="0"/>
          <w:sz w:val="28"/>
          <w:szCs w:val="28"/>
        </w:rPr>
        <w:t>“</w:t>
      </w:r>
      <w:r>
        <w:rPr>
          <w:rFonts w:ascii="宋体" w:hAnsi="宋体" w:cs="宋体"/>
          <w:kern w:val="0"/>
          <w:sz w:val="28"/>
          <w:szCs w:val="28"/>
        </w:rPr>
        <w:t>附属单位上缴收入</w:t>
      </w:r>
      <w:r>
        <w:rPr>
          <w:rFonts w:ascii="宋体" w:cs="黑体"/>
          <w:kern w:val="0"/>
          <w:sz w:val="28"/>
          <w:szCs w:val="28"/>
        </w:rPr>
        <w:t>”</w:t>
      </w:r>
      <w:r>
        <w:rPr>
          <w:rFonts w:ascii="宋体" w:hAnsi="宋体" w:cs="宋体"/>
          <w:kern w:val="0"/>
          <w:sz w:val="28"/>
          <w:szCs w:val="28"/>
        </w:rPr>
        <w:t>、</w:t>
      </w:r>
      <w:r>
        <w:rPr>
          <w:rFonts w:ascii="宋体" w:cs="黑体"/>
          <w:kern w:val="0"/>
          <w:sz w:val="28"/>
          <w:szCs w:val="28"/>
        </w:rPr>
        <w:t>“</w:t>
      </w:r>
      <w:r>
        <w:rPr>
          <w:rFonts w:ascii="宋体" w:hAnsi="宋体" w:cs="宋体"/>
          <w:kern w:val="0"/>
          <w:sz w:val="28"/>
          <w:szCs w:val="28"/>
        </w:rPr>
        <w:t>其他收入</w:t>
      </w:r>
      <w:r>
        <w:rPr>
          <w:rFonts w:ascii="宋体" w:cs="黑体"/>
          <w:kern w:val="0"/>
          <w:sz w:val="28"/>
          <w:szCs w:val="28"/>
        </w:rPr>
        <w:t>”</w:t>
      </w:r>
      <w:r>
        <w:rPr>
          <w:rFonts w:ascii="宋体" w:hAnsi="宋体" w:cs="宋体"/>
          <w:kern w:val="0"/>
          <w:sz w:val="28"/>
          <w:szCs w:val="28"/>
        </w:rPr>
        <w:t>不足以安排当年支出情况下，使用以前年度积累的使用非财政拨款结余弥补收支差额的资金（事业单位当年收支相抵后按国家规定提取、用于弥补以后年度收支差额的非财政拨款结余）。</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上年结转和结余：指以前年度尚未完成、结转到本年按有关规定继续使用的资金。</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年末结转和结余资金：指本年度或以前年度预算安排、因客观条件发生变化无法按原计划实施，需要延迟到以后年度按有关规定继续使用的资金。</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lastRenderedPageBreak/>
        <w:t>教育支出（类）：是指用于政府教育事务支出，包括保障机构正常运转、完成日常和特定的工作任务或事业发展目标的支出。</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科学技术支出（类）：是指用于科学技术方面的支出，包括保障机构正常运转、完成日常和特定的工作任务或事业发展目标的支出。</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文化体育与传媒支出（类）：是指用于文化、文物、体育、新闻出版广播影视等方面的支出，包括保障机构正常运转、完成日常和特定的工作任务或事业发展目标的支出。</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社会保障和就业支出（类）：是指用于社会保障和就业方面的支出，包括保障机构正常运转、完成日常和特定的工作任务或事业发展目标的支出。归口管理的行政单位离退休，指离退休人员管理机构统一管理的机关离退休人员的经费。</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卫生健康支出（类）：是指用于医疗卫生与计划生育方面的支出，包括保障机构正常运转、完成日常和特定的工作任务或事业发展目标的支出。</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住房保障支出（类）：是指用于住房方面的支出，包括保障机构正常运转、完成日常和特定的工作任务或事业发展目标的支出。</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基本支出：指保障机构正常运转、完成支日常工作任务而发生的人员支出和公用支出。</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项目支出：指在基本支出之外为完成特定行政任务和事业发展目标所发生的支出。</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cs="黑体"/>
          <w:kern w:val="0"/>
          <w:sz w:val="28"/>
          <w:szCs w:val="28"/>
        </w:rPr>
        <w:lastRenderedPageBreak/>
        <w:t>“</w:t>
      </w:r>
      <w:r>
        <w:rPr>
          <w:rFonts w:ascii="宋体" w:hAnsi="宋体" w:cs="宋体"/>
          <w:kern w:val="0"/>
          <w:sz w:val="28"/>
          <w:szCs w:val="28"/>
        </w:rPr>
        <w:t>三公</w:t>
      </w:r>
      <w:r>
        <w:rPr>
          <w:rFonts w:ascii="宋体" w:cs="黑体"/>
          <w:kern w:val="0"/>
          <w:sz w:val="28"/>
          <w:szCs w:val="28"/>
        </w:rPr>
        <w:t>”</w:t>
      </w:r>
      <w:r>
        <w:rPr>
          <w:rFonts w:ascii="宋体" w:hAnsi="宋体" w:cs="宋体"/>
          <w:kern w:val="0"/>
          <w:sz w:val="28"/>
          <w:szCs w:val="28"/>
        </w:rPr>
        <w:t>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政府采购 ：是指国家各级政府为从事日常的政务活动或为了满足公共服务的目的，利用国家财政性资金和政府借款购买货物、工程和服务的行为。政府采购不仅是指具体的采购过程，而且是采购政策、采购程序、采购过程及采购管理的总称，是一种对公共采购管理的制度。</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工资福利支出：反映单位开支的在职职工和编制外长期聘用人员的各类劳动报酬，以及为上述人员缴纳的各项社会保险费等。</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基本工资：反映按规定发放的基本工资，包括公务员的职务工资、级别工资；机关工人的岗位工资、技术等级工资；事业单位工作人员的岗位工资、薪级工资；各类学校毕业生试用期(见习期)工资、新参加工作工人学徒期、熟练期工资；军队（武警）军官、文职干部的职务（专业技术等级）工资、军衔（级别）工资、基础工资和军龄工资；军队士官的军衔等级工资、基础工资和军龄工资等。</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津贴补贴：反映经国家批准建立的机关事业单位艰苦边远地区津贴、机关工作人员地区附加津贴、机关工作人员岗位津贴、事业单位工作人员特殊岗位津贴补贴等。</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绩效工资：反映事业单位工作人员的绩效工资。</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机关事业单位基本养老保险缴费：反映机关事业单位缴纳的基本养老保险费。由单位代扣的工作人员基本养老保险缴费，不在此科目反映。</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lastRenderedPageBreak/>
        <w:t>职工基本医疗保险缴费：反映单位为职工缴纳的基本医疗保险费。</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其他社会保障缴费：反映单位为职工缴纳的基本医疗、失业、工伤、生育等社会保险费，残疾人就业保障金，军队（含武警）为军人缴纳的伤亡、退役医疗等社会保险费。</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住房公积金：反映行政事业单位按人力资源和社会保障部、财政部规定的基本工资和津贴补贴以及规定比例为职工缴纳的住房公积金。</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其他工资福利支出：反映上述项目未包括的人员支出，如各种加班工资、病假两个月以上期间的人员工资、编制外长期聘用人员，公务员及参照和依照公务员制度管理的单位工作人员转入企业工作并按规定参加企业职工基本养老保险后给予的一次性补贴等。</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商品和服务支出：反映单位购买商品和服务的支出（不包括用于购置固定资产的支出、战略性和应急储备支出）。</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办公费：反映单位购买按财务会计制度规定不符合固定资产确认标准的日常办公用品、书报杂志等支出。</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印刷费：反映单位的印刷费支出。</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邮电费：反映单位开支的信函、包裹、货物等物品的邮寄费及电话费、电报费、传真费、网络通讯费等。</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物业管理费：反映单位开支的办公用房以及未实行职工住宅物业服务改革的在职职工和离退休人员宿舍等的物业管理费，包括综合治理、绿化、卫生等方面的支出。</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差旅费：反映单位工作人员出差发生的城市间交通费、住宿费、伙食补贴费和市内交通费。</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公务接待费：反映单位按规定开支的各类公务接待（含外宾接待）费用。</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lastRenderedPageBreak/>
        <w:t>专用材料费：反映单位购买日常专用材料的支出。具体包括药品及医疗耗材，农用材料，兽医用品，实验室用品，专用服装，消耗性体育用品，专用工具和仪器，艺术部门专用材料和用品，广播电视台发射台发射机的电力、材料等方面的支出。</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劳务费：反映支付给单位和个人的劳务费用，如临时聘用人员、钟点工工资，稿费、翻译费，评审费等。</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委托业务费：反映因委托外单位办理业务而支付的委托业务费。</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其他交通费用：反映单位除公务用车运行维护费以外的其他交通费用。如公务交通补贴，租车费用、出租车费用，飞机、船舶等的燃料费、维修费、保险费等。</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其他商品和服务支出：反映上述科目未包括的日常公用支出。如行政赔偿费和诉讼费、国内组织的会员费、来访费、广告宣传、其他劳务费及离休人员特需费、公用经费等。</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对个人和家庭的补助：反映政府用于对个人和家庭的补助支出。</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离休费：反映行政事业单位和军队移交政府安置的离休人员的离休费、护理费和其他补贴。</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抚恤金：反映按规定开支的烈士遗属、牺牲病故人员遗属的一次性和定期抚恤金，伤残人员的抚恤金，离退休人员等其他人员的各项抚恤金。</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t>生活补助：反映按规定开支的优抚对象定期定量生活补助费，退役军人生活补助费，行政事业单位职工和遗属生活补助，因公负伤等住院治疗、住疗养院期间的伙食补助费，长期赡养人员补助费，由于国家实行退耕还林禁牧舍饲政策补偿给农牧民的现金、粮食支出，对农村党员、复员军人以及村干部的补助支出，看守人员和犯人的伙食费、药费等。</w:t>
      </w:r>
    </w:p>
    <w:p w:rsidR="00B87C8A" w:rsidRDefault="002D1C8A">
      <w:pPr>
        <w:keepNext/>
        <w:keepLines/>
        <w:autoSpaceDE w:val="0"/>
        <w:autoSpaceDN w:val="0"/>
        <w:adjustRightInd w:val="0"/>
        <w:spacing w:line="360" w:lineRule="auto"/>
        <w:ind w:firstLineChars="200" w:firstLine="560"/>
        <w:rPr>
          <w:rFonts w:ascii="宋体" w:cs="黑体" w:hint="default"/>
          <w:kern w:val="0"/>
          <w:sz w:val="28"/>
          <w:szCs w:val="28"/>
        </w:rPr>
      </w:pPr>
      <w:r>
        <w:rPr>
          <w:rFonts w:ascii="宋体" w:hAnsi="宋体" w:cs="宋体"/>
          <w:kern w:val="0"/>
          <w:sz w:val="28"/>
          <w:szCs w:val="28"/>
        </w:rPr>
        <w:lastRenderedPageBreak/>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 办公用房物业管理费、 公务用车运行维护费以及其他费用。</w:t>
      </w:r>
    </w:p>
    <w:p w:rsidR="00B87C8A" w:rsidRDefault="00B87C8A">
      <w:pPr>
        <w:keepNext/>
        <w:keepLines/>
        <w:autoSpaceDE w:val="0"/>
        <w:autoSpaceDN w:val="0"/>
        <w:adjustRightInd w:val="0"/>
        <w:spacing w:line="360" w:lineRule="auto"/>
        <w:ind w:firstLineChars="200" w:firstLine="640"/>
        <w:rPr>
          <w:rFonts w:ascii="黑体" w:eastAsia="黑体" w:hAnsi="Times New Roman" w:cs="黑体" w:hint="default"/>
          <w:sz w:val="32"/>
          <w:szCs w:val="32"/>
        </w:rPr>
      </w:pPr>
    </w:p>
    <w:p w:rsidR="00B87C8A" w:rsidRDefault="00B87C8A">
      <w:pPr>
        <w:keepNext/>
        <w:keepLines/>
        <w:autoSpaceDE w:val="0"/>
        <w:autoSpaceDN w:val="0"/>
        <w:adjustRightInd w:val="0"/>
        <w:spacing w:line="360" w:lineRule="auto"/>
        <w:ind w:firstLineChars="200" w:firstLine="640"/>
        <w:rPr>
          <w:rFonts w:ascii="黑体" w:eastAsia="黑体" w:hAnsi="Times New Roman" w:cs="黑体" w:hint="default"/>
          <w:sz w:val="32"/>
          <w:szCs w:val="32"/>
        </w:rPr>
        <w:sectPr w:rsidR="00B87C8A">
          <w:pgSz w:w="12240" w:h="15840"/>
          <w:pgMar w:top="1440" w:right="1800" w:bottom="1440" w:left="1800" w:header="720" w:footer="720" w:gutter="0"/>
          <w:cols w:space="720"/>
        </w:sectPr>
      </w:pPr>
    </w:p>
    <w:p w:rsidR="00B87C8A" w:rsidRDefault="00B87C8A">
      <w:pPr>
        <w:keepNext/>
        <w:keepLines/>
        <w:autoSpaceDE w:val="0"/>
        <w:autoSpaceDN w:val="0"/>
        <w:adjustRightInd w:val="0"/>
        <w:spacing w:line="360" w:lineRule="auto"/>
        <w:ind w:firstLine="0"/>
        <w:rPr>
          <w:rFonts w:ascii="黑体" w:eastAsia="黑体" w:hAnsi="Times New Roman" w:cs="黑体" w:hint="default"/>
          <w:sz w:val="84"/>
          <w:szCs w:val="84"/>
        </w:rPr>
      </w:pPr>
    </w:p>
    <w:p w:rsidR="00B87C8A" w:rsidRDefault="00B87C8A">
      <w:pPr>
        <w:keepNext/>
        <w:keepLines/>
        <w:autoSpaceDE w:val="0"/>
        <w:autoSpaceDN w:val="0"/>
        <w:adjustRightInd w:val="0"/>
        <w:spacing w:line="360" w:lineRule="auto"/>
        <w:ind w:firstLine="0"/>
        <w:rPr>
          <w:rFonts w:ascii="黑体" w:eastAsia="黑体" w:hAnsi="Times New Roman" w:cs="黑体" w:hint="default"/>
          <w:sz w:val="84"/>
          <w:szCs w:val="84"/>
        </w:rPr>
      </w:pPr>
    </w:p>
    <w:p w:rsidR="00B87C8A" w:rsidRDefault="002D1C8A">
      <w:pPr>
        <w:keepNext/>
        <w:keepLines/>
        <w:autoSpaceDE w:val="0"/>
        <w:autoSpaceDN w:val="0"/>
        <w:adjustRightInd w:val="0"/>
        <w:spacing w:line="360" w:lineRule="auto"/>
        <w:ind w:firstLine="0"/>
        <w:jc w:val="center"/>
        <w:rPr>
          <w:rFonts w:ascii="黑体" w:eastAsia="黑体" w:hAnsi="Times New Roman" w:cs="黑体" w:hint="default"/>
          <w:sz w:val="84"/>
          <w:szCs w:val="84"/>
        </w:rPr>
      </w:pPr>
      <w:r>
        <w:rPr>
          <w:rFonts w:ascii="黑体" w:eastAsia="黑体" w:hAnsi="Times New Roman" w:cs="黑体"/>
          <w:sz w:val="84"/>
          <w:szCs w:val="84"/>
        </w:rPr>
        <w:t>第五部分</w:t>
      </w:r>
    </w:p>
    <w:p w:rsidR="00B87C8A" w:rsidRDefault="002D1C8A">
      <w:pPr>
        <w:keepNext/>
        <w:keepLines/>
        <w:autoSpaceDE w:val="0"/>
        <w:autoSpaceDN w:val="0"/>
        <w:adjustRightInd w:val="0"/>
        <w:spacing w:line="360" w:lineRule="auto"/>
        <w:ind w:firstLine="0"/>
        <w:jc w:val="center"/>
        <w:rPr>
          <w:rFonts w:ascii="宋体" w:hAnsi="Times New Roman" w:cs="宋体" w:hint="default"/>
          <w:kern w:val="0"/>
          <w:sz w:val="84"/>
          <w:szCs w:val="84"/>
        </w:rPr>
      </w:pPr>
      <w:r>
        <w:rPr>
          <w:rFonts w:ascii="黑体" w:eastAsia="黑体" w:hAnsi="Times New Roman" w:cs="黑体"/>
          <w:sz w:val="84"/>
          <w:szCs w:val="84"/>
        </w:rPr>
        <w:t>附  件</w:t>
      </w:r>
    </w:p>
    <w:p w:rsidR="00B87C8A" w:rsidRDefault="00B87C8A">
      <w:pPr>
        <w:spacing w:line="360" w:lineRule="auto"/>
        <w:ind w:firstLineChars="200" w:firstLine="640"/>
        <w:rPr>
          <w:rFonts w:ascii="宋体" w:hAnsi="Times New Roman" w:cs="宋体" w:hint="default"/>
          <w:sz w:val="32"/>
          <w:szCs w:val="32"/>
        </w:rPr>
        <w:sectPr w:rsidR="00B87C8A">
          <w:pgSz w:w="12240" w:h="15840"/>
          <w:pgMar w:top="1440" w:right="1800" w:bottom="1440" w:left="1800" w:header="720" w:footer="720" w:gutter="0"/>
          <w:cols w:space="720"/>
        </w:sectPr>
      </w:pPr>
    </w:p>
    <w:p w:rsidR="00B87C8A" w:rsidRDefault="002D1C8A">
      <w:pPr>
        <w:spacing w:line="560" w:lineRule="exact"/>
        <w:jc w:val="center"/>
        <w:rPr>
          <w:rFonts w:ascii="黑体" w:eastAsia="黑体" w:hAnsi="黑体" w:cs="黑体" w:hint="default"/>
          <w:sz w:val="36"/>
          <w:szCs w:val="36"/>
        </w:rPr>
      </w:pPr>
      <w:r>
        <w:rPr>
          <w:rFonts w:ascii="黑体" w:eastAsia="黑体" w:hAnsi="黑体" w:cs="黑体"/>
          <w:sz w:val="36"/>
          <w:szCs w:val="36"/>
        </w:rPr>
        <w:lastRenderedPageBreak/>
        <w:t>2021年度吉首大学整体支出</w:t>
      </w:r>
    </w:p>
    <w:p w:rsidR="00B87C8A" w:rsidRDefault="002D1C8A">
      <w:pPr>
        <w:spacing w:line="560" w:lineRule="exact"/>
        <w:jc w:val="center"/>
        <w:rPr>
          <w:rFonts w:ascii="黑体" w:eastAsia="黑体" w:hAnsi="黑体" w:cs="黑体" w:hint="default"/>
          <w:sz w:val="36"/>
          <w:szCs w:val="36"/>
        </w:rPr>
      </w:pPr>
      <w:r>
        <w:rPr>
          <w:rFonts w:ascii="黑体" w:eastAsia="黑体" w:hAnsi="黑体" w:cs="黑体"/>
          <w:sz w:val="36"/>
          <w:szCs w:val="36"/>
        </w:rPr>
        <w:t>绩效自评报告</w:t>
      </w:r>
    </w:p>
    <w:p w:rsidR="00B87C8A" w:rsidRDefault="00B87C8A">
      <w:pPr>
        <w:spacing w:line="560" w:lineRule="exact"/>
        <w:jc w:val="left"/>
        <w:rPr>
          <w:rFonts w:ascii="宋体" w:hAnsi="宋体" w:hint="default"/>
          <w:sz w:val="28"/>
          <w:szCs w:val="28"/>
        </w:rPr>
      </w:pPr>
    </w:p>
    <w:p w:rsidR="00B87C8A" w:rsidRDefault="002D1C8A">
      <w:pPr>
        <w:spacing w:line="560" w:lineRule="exact"/>
        <w:ind w:firstLineChars="200" w:firstLine="584"/>
        <w:rPr>
          <w:rFonts w:ascii="宋体" w:hAnsi="宋体" w:cs="宋体" w:hint="default"/>
          <w:spacing w:val="6"/>
          <w:sz w:val="28"/>
          <w:szCs w:val="28"/>
        </w:rPr>
      </w:pPr>
      <w:r>
        <w:rPr>
          <w:rFonts w:ascii="宋体" w:hAnsi="宋体" w:cs="宋体"/>
          <w:spacing w:val="6"/>
          <w:sz w:val="28"/>
          <w:szCs w:val="28"/>
        </w:rPr>
        <w:t>根据《湖南省财政厅关于开展2021年度部门整体支出绩效自评工作的通知》（湘财绩〔2022〕1号）和湖南省教育厅《关于开展2021年度单位整体支出绩效自评工作的通知》</w:t>
      </w:r>
      <w:r>
        <w:rPr>
          <w:rFonts w:ascii="宋体" w:hAnsi="宋体" w:cs="宋体"/>
          <w:sz w:val="28"/>
          <w:szCs w:val="28"/>
        </w:rPr>
        <w:t>的文件精神，我校对部门整体支出进行了绩效评价，现报告如下：</w:t>
      </w:r>
    </w:p>
    <w:p w:rsidR="00B87C8A" w:rsidRDefault="002D1C8A">
      <w:pPr>
        <w:spacing w:line="560" w:lineRule="exact"/>
        <w:ind w:firstLineChars="200" w:firstLine="640"/>
        <w:jc w:val="left"/>
        <w:rPr>
          <w:rFonts w:ascii="黑体" w:eastAsia="黑体" w:hAnsi="黑体" w:cs="黑体" w:hint="default"/>
          <w:sz w:val="32"/>
          <w:szCs w:val="32"/>
        </w:rPr>
      </w:pPr>
      <w:r>
        <w:rPr>
          <w:rFonts w:ascii="黑体" w:eastAsia="黑体" w:hAnsi="黑体" w:cs="黑体"/>
          <w:sz w:val="32"/>
          <w:szCs w:val="32"/>
        </w:rPr>
        <w:t>一、学校基本概况</w:t>
      </w:r>
    </w:p>
    <w:p w:rsidR="00B87C8A" w:rsidRDefault="002D1C8A" w:rsidP="002D1C8A">
      <w:pPr>
        <w:pStyle w:val="GB2312"/>
        <w:snapToGrid w:val="0"/>
        <w:spacing w:line="560" w:lineRule="exact"/>
        <w:ind w:firstLine="560"/>
        <w:outlineLvl w:val="1"/>
        <w:rPr>
          <w:rFonts w:ascii="宋体" w:eastAsia="宋体" w:hAnsi="宋体" w:hint="default"/>
          <w:szCs w:val="28"/>
        </w:rPr>
      </w:pPr>
      <w:r>
        <w:rPr>
          <w:rFonts w:ascii="宋体" w:eastAsia="宋体" w:hAnsi="宋体"/>
          <w:szCs w:val="28"/>
        </w:rPr>
        <w:t>吉首大学创办于1958年9月，在湖南省湘西土家族苗族自治州和张家界市两地办学，校本部位于湘西自治州首府——吉首市，是湖南省属综合性大学，也是武陵山片区唯一的综合性大学。学校是国家“中西部高校基础能力建设工程”高校，“服务国家特殊需求博士人才培养项目”高校，《武陵山片区区域发展与扶贫攻坚规划》重点建设高校，教育部本科教学工作水平评估优秀学校，湖南省研究生培养过程质量评估优秀学校。学校是推荐优秀应届本科毕业生免试攻读硕士学位研究生普通高校。2016年，学校成为国家民委与湖南省人民政府共建高校。2018年获批为国家博士学位授权单位，形成了从本科到博士后完整的人才培养体系。学校总占地面积2900余亩，建筑面积近60万平方米，教学科研仪器设备总值3.7亿元，各类纸质、电子文献600余万册。</w:t>
      </w:r>
    </w:p>
    <w:p w:rsidR="00B87C8A" w:rsidRDefault="002D1C8A" w:rsidP="002D1C8A">
      <w:pPr>
        <w:pStyle w:val="GB2312"/>
        <w:snapToGrid w:val="0"/>
        <w:spacing w:line="560" w:lineRule="exact"/>
        <w:ind w:firstLine="560"/>
        <w:outlineLvl w:val="1"/>
        <w:rPr>
          <w:rFonts w:ascii="宋体" w:eastAsia="宋体" w:hAnsi="宋体" w:hint="default"/>
          <w:szCs w:val="28"/>
        </w:rPr>
      </w:pPr>
      <w:r>
        <w:rPr>
          <w:rFonts w:ascii="宋体" w:eastAsia="宋体" w:hAnsi="宋体"/>
          <w:szCs w:val="28"/>
        </w:rPr>
        <w:t>学校现有教学学院21个，一级学科41个，本科专业78个，覆盖了12大学科门类。现有博士后科研流动站2个、一级学科硕士点15个、专业硕士点13个、国家级特色专业3个、国家级本科专业综合改革试点专业1个、“卓越医生教育培养计划”专业和“卓越农林人才教育培</w:t>
      </w:r>
      <w:r>
        <w:rPr>
          <w:rFonts w:ascii="宋体" w:eastAsia="宋体" w:hAnsi="宋体"/>
          <w:szCs w:val="28"/>
        </w:rPr>
        <w:lastRenderedPageBreak/>
        <w:t>养计划”专业各1个，国家一流专业建设点2个。拥有省部级以上各类学科平台近80个。近年来，学校获省部级以上教学成果奖30余项，学生在各类教育行政主管部门组织和认可的比赛、竞赛中共获国家级奖项426项，省部级奖项1589项。毕业生就业率保持在90％以上。学校先后承担省部级以上科研项目900余项，获国家级、省部级科研成果奖共50余项；获得“全国民族团结进步模范集体”“全国绿化模范单位”“全国五四红旗团委”“湖南省文明单位”“湖南省平安高校”“湖南省高校毕业生就业工作先进单位”等荣誉称号。</w:t>
      </w:r>
    </w:p>
    <w:p w:rsidR="00B87C8A" w:rsidRDefault="002D1C8A">
      <w:pPr>
        <w:pStyle w:val="GB2312"/>
        <w:snapToGrid w:val="0"/>
        <w:spacing w:line="560" w:lineRule="exact"/>
        <w:ind w:firstLine="640"/>
        <w:outlineLvl w:val="1"/>
        <w:rPr>
          <w:rFonts w:ascii="黑体" w:eastAsia="黑体" w:hAnsi="黑体" w:cs="黑体" w:hint="default"/>
          <w:sz w:val="32"/>
          <w:szCs w:val="32"/>
        </w:rPr>
      </w:pPr>
      <w:r>
        <w:rPr>
          <w:rFonts w:ascii="黑体" w:eastAsia="黑体" w:hAnsi="黑体" w:cs="黑体"/>
          <w:sz w:val="32"/>
          <w:szCs w:val="32"/>
        </w:rPr>
        <w:t>二、预算支出情况</w:t>
      </w:r>
    </w:p>
    <w:p w:rsidR="00B87C8A" w:rsidRDefault="002D1C8A">
      <w:pPr>
        <w:tabs>
          <w:tab w:val="left" w:pos="0"/>
        </w:tabs>
        <w:spacing w:line="560" w:lineRule="exact"/>
        <w:ind w:right="560" w:firstLineChars="200" w:firstLine="562"/>
        <w:rPr>
          <w:rFonts w:ascii="宋体" w:hAnsi="宋体" w:cs="宋体" w:hint="default"/>
          <w:b/>
          <w:sz w:val="28"/>
          <w:szCs w:val="28"/>
        </w:rPr>
      </w:pPr>
      <w:r>
        <w:rPr>
          <w:rFonts w:ascii="宋体" w:hAnsi="宋体" w:cs="宋体"/>
          <w:b/>
          <w:sz w:val="28"/>
          <w:szCs w:val="28"/>
        </w:rPr>
        <w:t>（一）整体支出情况</w:t>
      </w:r>
    </w:p>
    <w:p w:rsidR="00B87C8A" w:rsidRDefault="002D1C8A">
      <w:pPr>
        <w:tabs>
          <w:tab w:val="left" w:pos="0"/>
        </w:tabs>
        <w:spacing w:line="560" w:lineRule="exact"/>
        <w:ind w:right="25" w:firstLineChars="200" w:firstLine="560"/>
        <w:rPr>
          <w:rFonts w:ascii="宋体" w:hAnsi="宋体" w:cs="宋体" w:hint="default"/>
          <w:sz w:val="28"/>
          <w:szCs w:val="28"/>
        </w:rPr>
      </w:pPr>
      <w:r>
        <w:rPr>
          <w:rFonts w:ascii="宋体" w:hAnsi="宋体" w:cs="宋体"/>
          <w:sz w:val="28"/>
          <w:szCs w:val="28"/>
        </w:rPr>
        <w:t>2021年度本单位支出总额为60963.33万元，其中：工资福利支出为33919.99万元，占支出总额的55.64%；商品服务支出14307.55万元，占支出总额的23.47%；对个人和家庭补助支出6821.29万元，占支出总额的11.19%；资本性支出（基本建设）5.39万元，占支出总额的0.01%；资本性支出5909.11万元，占支出总额的9.69%。</w:t>
      </w:r>
    </w:p>
    <w:p w:rsidR="00B87C8A" w:rsidRDefault="002D1C8A">
      <w:pPr>
        <w:tabs>
          <w:tab w:val="left" w:pos="0"/>
        </w:tabs>
        <w:spacing w:line="560" w:lineRule="exact"/>
        <w:ind w:right="560" w:firstLineChars="200" w:firstLine="562"/>
        <w:rPr>
          <w:rFonts w:ascii="宋体" w:hAnsi="宋体" w:cs="宋体" w:hint="default"/>
          <w:b/>
          <w:sz w:val="28"/>
          <w:szCs w:val="28"/>
        </w:rPr>
      </w:pPr>
      <w:r>
        <w:rPr>
          <w:rFonts w:ascii="宋体" w:hAnsi="宋体" w:cs="宋体"/>
          <w:b/>
          <w:sz w:val="28"/>
          <w:szCs w:val="28"/>
        </w:rPr>
        <w:t>（二）一般公共预算支出情况</w:t>
      </w:r>
    </w:p>
    <w:p w:rsidR="00B87C8A" w:rsidRDefault="002D1C8A">
      <w:pPr>
        <w:tabs>
          <w:tab w:val="left" w:pos="0"/>
        </w:tabs>
        <w:spacing w:line="560" w:lineRule="exact"/>
        <w:ind w:right="560" w:firstLineChars="200" w:firstLine="560"/>
        <w:rPr>
          <w:rFonts w:ascii="宋体" w:hAnsi="宋体" w:cs="宋体" w:hint="default"/>
          <w:sz w:val="28"/>
          <w:szCs w:val="28"/>
        </w:rPr>
      </w:pPr>
      <w:r>
        <w:rPr>
          <w:rFonts w:ascii="宋体" w:hAnsi="宋体" w:cs="宋体"/>
          <w:sz w:val="28"/>
          <w:szCs w:val="28"/>
        </w:rPr>
        <w:t>1.一般公共预算基本支出情况</w:t>
      </w:r>
    </w:p>
    <w:p w:rsidR="00B87C8A" w:rsidRDefault="002D1C8A">
      <w:pPr>
        <w:tabs>
          <w:tab w:val="left" w:pos="0"/>
        </w:tabs>
        <w:spacing w:line="560" w:lineRule="exact"/>
        <w:ind w:right="25" w:firstLineChars="200" w:firstLine="560"/>
        <w:rPr>
          <w:rFonts w:ascii="宋体" w:hAnsi="宋体" w:cs="宋体" w:hint="default"/>
          <w:sz w:val="28"/>
          <w:szCs w:val="28"/>
        </w:rPr>
      </w:pPr>
      <w:r>
        <w:rPr>
          <w:rFonts w:ascii="宋体" w:hAnsi="宋体" w:cs="宋体"/>
          <w:sz w:val="28"/>
          <w:szCs w:val="28"/>
        </w:rPr>
        <w:t>2021年度学校一般公共预算基本支出25701.46万元，其中工资福利支出23434.48万元，占基本支出的91.18%，主要包括基本工资、津贴补贴、奖金、绩效工资、社会保障费等;商品服务支出1492.24万元，占基本支出的5.81%，主要包括办公费、印刷费、邮电费、物业管理费、差旅费、专用材料费、劳务费、委托业务费等；对个人和家庭的补助774.74万元，占基本支出的3.01%，主要包括离休费、生活补助等。</w:t>
      </w:r>
    </w:p>
    <w:p w:rsidR="00B87C8A" w:rsidRDefault="002D1C8A">
      <w:pPr>
        <w:tabs>
          <w:tab w:val="left" w:pos="0"/>
        </w:tabs>
        <w:spacing w:line="560" w:lineRule="exact"/>
        <w:ind w:right="560" w:firstLineChars="200" w:firstLine="560"/>
        <w:rPr>
          <w:rFonts w:ascii="宋体" w:hAnsi="宋体" w:cs="宋体" w:hint="default"/>
          <w:sz w:val="28"/>
          <w:szCs w:val="28"/>
        </w:rPr>
      </w:pPr>
      <w:r>
        <w:rPr>
          <w:rFonts w:ascii="宋体" w:hAnsi="宋体" w:cs="宋体"/>
          <w:sz w:val="28"/>
          <w:szCs w:val="28"/>
        </w:rPr>
        <w:lastRenderedPageBreak/>
        <w:t>2.一般公共预算项目支出情况</w:t>
      </w:r>
    </w:p>
    <w:p w:rsidR="00B87C8A" w:rsidRDefault="002D1C8A">
      <w:pPr>
        <w:tabs>
          <w:tab w:val="left" w:pos="0"/>
        </w:tabs>
        <w:spacing w:line="560" w:lineRule="exact"/>
        <w:ind w:right="25" w:firstLineChars="200" w:firstLine="560"/>
        <w:rPr>
          <w:rFonts w:ascii="宋体" w:hAnsi="宋体" w:cs="宋体" w:hint="default"/>
          <w:sz w:val="28"/>
          <w:szCs w:val="28"/>
        </w:rPr>
      </w:pPr>
      <w:r>
        <w:rPr>
          <w:rFonts w:ascii="宋体" w:hAnsi="宋体" w:cs="宋体"/>
          <w:sz w:val="28"/>
          <w:szCs w:val="28"/>
        </w:rPr>
        <w:t>2021年度学校一般公共预算项目支出11513.46万元，其中商品服务支出2687.46万元，资本性支出（基本建设）5.39万元，资本性支出5098.15万元。</w:t>
      </w:r>
    </w:p>
    <w:p w:rsidR="00B87C8A" w:rsidRDefault="002D1C8A">
      <w:pPr>
        <w:tabs>
          <w:tab w:val="left" w:pos="0"/>
        </w:tabs>
        <w:spacing w:line="560" w:lineRule="exact"/>
        <w:ind w:right="560" w:firstLineChars="200" w:firstLine="562"/>
        <w:rPr>
          <w:rFonts w:ascii="宋体" w:hAnsi="宋体" w:cs="宋体" w:hint="default"/>
          <w:b/>
          <w:sz w:val="28"/>
          <w:szCs w:val="28"/>
        </w:rPr>
      </w:pPr>
      <w:r>
        <w:rPr>
          <w:rFonts w:ascii="宋体" w:hAnsi="宋体" w:cs="宋体"/>
          <w:b/>
          <w:sz w:val="28"/>
          <w:szCs w:val="28"/>
        </w:rPr>
        <w:t>（三）省级专项资金支出情况</w:t>
      </w:r>
    </w:p>
    <w:p w:rsidR="00B87C8A" w:rsidRDefault="002D1C8A">
      <w:pPr>
        <w:tabs>
          <w:tab w:val="left" w:pos="0"/>
        </w:tabs>
        <w:spacing w:line="560" w:lineRule="exact"/>
        <w:ind w:right="25" w:firstLineChars="200" w:firstLine="560"/>
        <w:rPr>
          <w:rFonts w:ascii="宋体" w:hAnsi="宋体" w:cs="宋体" w:hint="default"/>
          <w:sz w:val="28"/>
          <w:szCs w:val="28"/>
        </w:rPr>
      </w:pPr>
      <w:r>
        <w:rPr>
          <w:rFonts w:ascii="宋体" w:hAnsi="宋体" w:cs="宋体"/>
          <w:sz w:val="28"/>
          <w:szCs w:val="28"/>
        </w:rPr>
        <w:t>2021年本单位省级专项资金支出包括教育综合发展专项、高校“双一流”建设专项。</w:t>
      </w:r>
    </w:p>
    <w:p w:rsidR="00B87C8A" w:rsidRDefault="002D1C8A">
      <w:pPr>
        <w:tabs>
          <w:tab w:val="left" w:pos="0"/>
        </w:tabs>
        <w:spacing w:line="560" w:lineRule="exact"/>
        <w:ind w:right="25" w:firstLineChars="200" w:firstLine="560"/>
        <w:rPr>
          <w:rFonts w:ascii="宋体" w:hAnsi="宋体" w:cs="宋体" w:hint="default"/>
          <w:sz w:val="28"/>
          <w:szCs w:val="28"/>
        </w:rPr>
      </w:pPr>
      <w:r>
        <w:rPr>
          <w:rFonts w:ascii="宋体" w:hAnsi="宋体" w:cs="宋体"/>
          <w:sz w:val="28"/>
          <w:szCs w:val="28"/>
        </w:rPr>
        <w:t>1.教育综合发展专项，年度财政拨款38.3万元，支出18.8万元，预算执行率49%，项目资金构成与执行绩效如下：</w:t>
      </w:r>
    </w:p>
    <w:p w:rsidR="00B87C8A" w:rsidRDefault="002D1C8A">
      <w:pPr>
        <w:tabs>
          <w:tab w:val="left" w:pos="0"/>
        </w:tabs>
        <w:spacing w:line="560" w:lineRule="exact"/>
        <w:ind w:right="25" w:firstLineChars="200" w:firstLine="560"/>
        <w:rPr>
          <w:rFonts w:ascii="宋体" w:hAnsi="宋体" w:cs="宋体" w:hint="default"/>
          <w:sz w:val="28"/>
          <w:szCs w:val="28"/>
        </w:rPr>
      </w:pPr>
      <w:r>
        <w:rPr>
          <w:rFonts w:ascii="宋体" w:hAnsi="宋体" w:cs="宋体"/>
          <w:sz w:val="28"/>
          <w:szCs w:val="28"/>
        </w:rPr>
        <w:t>（1）“一带一路”留学生奖学金专项，财政拨款1.5万元，因全球新冠疫情原因，学校留学生招生计划未完成，资金退回省财政厅。学校将根据2022年新冠疫情形势，积极加快推动“一带一路”沿线国家留学生招生工作；</w:t>
      </w:r>
    </w:p>
    <w:p w:rsidR="00B87C8A" w:rsidRDefault="002D1C8A">
      <w:pPr>
        <w:tabs>
          <w:tab w:val="left" w:pos="0"/>
        </w:tabs>
        <w:spacing w:line="560" w:lineRule="exact"/>
        <w:ind w:right="25" w:firstLineChars="200" w:firstLine="560"/>
        <w:rPr>
          <w:rFonts w:ascii="宋体" w:hAnsi="宋体" w:cs="宋体" w:hint="default"/>
          <w:sz w:val="28"/>
          <w:szCs w:val="28"/>
        </w:rPr>
      </w:pPr>
      <w:r>
        <w:rPr>
          <w:rFonts w:ascii="宋体" w:hAnsi="宋体" w:cs="宋体"/>
          <w:sz w:val="28"/>
          <w:szCs w:val="28"/>
        </w:rPr>
        <w:t>（2）内地民族班专项，财政拨款20万元，全年实际执行4.8万元，因疫情影响，年度新疆、西藏家访和调研活动未能开展，其他民族教育活动执行良好。2021年，学校选派了2名骨干教师和优秀辅导员参加了湖南省少数民族学生教育管理培训；组织开展了民族学生“品味诗词之美，传承中华文明”古诗词朗诵比赛、“加强民族团结·铸牢中华民族共同体意识”知识抢答赛、“青春心向党 追梦新征程”朗诵大赛、“传承红色基因、永远跟党走”民族团结演讲比赛、“贯彻中央民族工作会议精神 铸牢中华民族共同体意识”吉首大学第三届民族文化艺术节、“庆祝建党100周年，永远跟党走”主题征文活动等系列活动，有效加强了民族团结教育，铸牢全体师生中华民族共同体意识。</w:t>
      </w:r>
    </w:p>
    <w:p w:rsidR="00B87C8A" w:rsidRDefault="002D1C8A">
      <w:pPr>
        <w:tabs>
          <w:tab w:val="left" w:pos="0"/>
        </w:tabs>
        <w:spacing w:line="560" w:lineRule="exact"/>
        <w:ind w:right="25" w:firstLineChars="200" w:firstLine="560"/>
        <w:rPr>
          <w:rFonts w:ascii="宋体" w:hAnsi="宋体" w:cs="宋体" w:hint="default"/>
          <w:sz w:val="28"/>
          <w:szCs w:val="28"/>
        </w:rPr>
      </w:pPr>
      <w:r>
        <w:rPr>
          <w:rFonts w:ascii="宋体" w:hAnsi="宋体" w:cs="宋体"/>
          <w:sz w:val="28"/>
          <w:szCs w:val="28"/>
        </w:rPr>
        <w:lastRenderedPageBreak/>
        <w:t>（3）校园足球专项，年度财政拨款12.8万元，资金支出12.8万元，其中食宿交通费用4.2万元、培训场地设备租赁费0.88万元、课时和劳务费4.1万元、其他商品服务支出3.62万元，预算执行率100%。校园足球项目由我校体育文化科学学院承担，项通过研修培训，提升了学员校园足球教学理念、教学方法与手段，加深了对校园足球教育教学理论及学科前沿信息、知识与教学价值的深入理解，提升了校园足球的教学专项能力。39位校园足球骨干教师通过将所学的知识技能推广至中、小学应用，有效提高了校园足球课程教学及其课外体育活动的质量，促进学生体质健康。</w:t>
      </w:r>
    </w:p>
    <w:p w:rsidR="00B87C8A" w:rsidRDefault="002D1C8A">
      <w:pPr>
        <w:tabs>
          <w:tab w:val="left" w:pos="0"/>
        </w:tabs>
        <w:spacing w:line="560" w:lineRule="exact"/>
        <w:ind w:right="25" w:firstLineChars="200" w:firstLine="560"/>
        <w:jc w:val="left"/>
        <w:rPr>
          <w:rFonts w:ascii="宋体" w:hAnsi="宋体" w:cs="宋体" w:hint="default"/>
          <w:color w:val="000000"/>
          <w:sz w:val="28"/>
          <w:szCs w:val="28"/>
        </w:rPr>
      </w:pPr>
      <w:r>
        <w:rPr>
          <w:rFonts w:ascii="宋体" w:hAnsi="宋体" w:cs="宋体"/>
          <w:sz w:val="28"/>
          <w:szCs w:val="28"/>
        </w:rPr>
        <w:t>（4）</w:t>
      </w:r>
      <w:r>
        <w:rPr>
          <w:rFonts w:ascii="宋体" w:hAnsi="宋体" w:cs="宋体"/>
          <w:color w:val="000000"/>
          <w:sz w:val="28"/>
          <w:szCs w:val="28"/>
        </w:rPr>
        <w:t>教育科学规划课题- 湘西地区乡村体育教师专业发展困境及策略研究项目，年度财政拨款1万元，资金主要用于问卷调研的差旅和资料打印，支出总额1万元，预算执行率100%。项目负责人按项目规划完成了《湘西州乡村体育教师内动力发展现状问卷》、《湘西州乡村体育教师满意度问卷》两套问卷的发放和调查工作，同时按照项目绩效目标规定撰写了两篇论文，绩效目标得到实现。</w:t>
      </w:r>
    </w:p>
    <w:p w:rsidR="00B87C8A" w:rsidRDefault="002D1C8A">
      <w:pPr>
        <w:tabs>
          <w:tab w:val="left" w:pos="0"/>
        </w:tabs>
        <w:spacing w:line="560" w:lineRule="exact"/>
        <w:ind w:right="25" w:firstLineChars="200" w:firstLine="560"/>
        <w:jc w:val="left"/>
        <w:rPr>
          <w:rFonts w:ascii="宋体" w:hAnsi="宋体" w:cs="宋体" w:hint="default"/>
          <w:sz w:val="28"/>
          <w:szCs w:val="28"/>
        </w:rPr>
      </w:pPr>
      <w:r>
        <w:rPr>
          <w:rFonts w:ascii="宋体" w:hAnsi="宋体" w:cs="宋体"/>
          <w:color w:val="000000"/>
          <w:sz w:val="28"/>
          <w:szCs w:val="28"/>
        </w:rPr>
        <w:t>（5）教育体制改革试点-武陵山片区教师教育协同一体化发展机制与模式创新项目，年度财政拨款3万元。通过对武陵山片区教师教育协同一体化发展机制与模式的研究，先后在《中国教育报》、《湖南日报》、《光明日报》等权威报刊发表论文3篇，组建了涵盖思政课教师、优秀研究生和本科生在内的“理论宣讲团”、“星火宣讲队”、“政能量之音”三支宣讲队，形成了“思政园+”的实践教学模式，利用思政园中的“中国道路”文化墙，开展思政文化育人实践，打造了“中国道路说”移动思政课实践教学品</w:t>
      </w:r>
      <w:r>
        <w:rPr>
          <w:rFonts w:ascii="宋体" w:hAnsi="宋体" w:cs="宋体"/>
          <w:color w:val="000000"/>
          <w:spacing w:val="-6"/>
          <w:sz w:val="28"/>
          <w:szCs w:val="28"/>
        </w:rPr>
        <w:t>牌，有效推进教育体制改革试点，助推科教强省建设和</w:t>
      </w:r>
      <w:r>
        <w:rPr>
          <w:rFonts w:ascii="宋体" w:hAnsi="宋体" w:cs="宋体"/>
          <w:color w:val="000000"/>
          <w:spacing w:val="-6"/>
          <w:sz w:val="28"/>
          <w:szCs w:val="28"/>
        </w:rPr>
        <w:lastRenderedPageBreak/>
        <w:t>教育现代化。</w:t>
      </w:r>
    </w:p>
    <w:p w:rsidR="00B87C8A" w:rsidRDefault="002D1C8A">
      <w:pPr>
        <w:tabs>
          <w:tab w:val="left" w:pos="0"/>
        </w:tabs>
        <w:spacing w:line="560" w:lineRule="exact"/>
        <w:ind w:right="25" w:firstLineChars="200" w:firstLine="560"/>
        <w:rPr>
          <w:rFonts w:ascii="宋体" w:hAnsi="宋体" w:cs="宋体" w:hint="default"/>
          <w:sz w:val="28"/>
          <w:szCs w:val="28"/>
        </w:rPr>
      </w:pPr>
      <w:r>
        <w:rPr>
          <w:rFonts w:ascii="宋体" w:hAnsi="宋体" w:cs="宋体"/>
          <w:sz w:val="28"/>
          <w:szCs w:val="28"/>
        </w:rPr>
        <w:t>2.高校“双一流”建设专项，年度财政拨款3103万元。为切实有效推进“双一流”建设，学校自筹资金2223.39万元，投入总计5326.39万元用于“双一流”项目建设，在制度建设、“双一流”学科（专业群）建设、人才队伍建设、创新人才培养、科学研究和学术合作交流等六大方面取得发展和突破，主要表现为：</w:t>
      </w:r>
    </w:p>
    <w:p w:rsidR="00B87C8A" w:rsidRDefault="002D1C8A">
      <w:pPr>
        <w:tabs>
          <w:tab w:val="left" w:pos="0"/>
        </w:tabs>
        <w:spacing w:line="560" w:lineRule="exact"/>
        <w:ind w:right="25" w:firstLineChars="200" w:firstLine="560"/>
        <w:rPr>
          <w:rFonts w:ascii="宋体" w:hAnsi="宋体" w:cs="宋体" w:hint="default"/>
          <w:sz w:val="28"/>
          <w:szCs w:val="28"/>
        </w:rPr>
      </w:pPr>
      <w:r>
        <w:rPr>
          <w:rFonts w:ascii="宋体" w:hAnsi="宋体" w:cs="宋体"/>
          <w:sz w:val="28"/>
          <w:szCs w:val="28"/>
        </w:rPr>
        <w:t>（1）制度建设方面。学校以《湖南省全面推进一流大学一流学科实施方案》、《</w:t>
      </w:r>
      <w:r w:rsidR="00930D56">
        <w:rPr>
          <w:rFonts w:ascii="宋体" w:hAnsi="宋体" w:cs="宋体"/>
          <w:sz w:val="28"/>
          <w:szCs w:val="28"/>
        </w:rPr>
        <w:fldChar w:fldCharType="begin"/>
      </w:r>
      <w:r>
        <w:rPr>
          <w:rFonts w:ascii="宋体" w:hAnsi="宋体" w:cs="宋体"/>
          <w:sz w:val="28"/>
          <w:szCs w:val="28"/>
        </w:rPr>
        <w:instrText>ADDIN CNKISM.UserStyle</w:instrText>
      </w:r>
      <w:r w:rsidR="00930D56">
        <w:rPr>
          <w:rFonts w:ascii="宋体" w:hAnsi="宋体" w:cs="宋体"/>
          <w:sz w:val="28"/>
          <w:szCs w:val="28"/>
        </w:rPr>
        <w:fldChar w:fldCharType="end"/>
      </w:r>
      <w:r>
        <w:rPr>
          <w:rFonts w:ascii="宋体" w:hAnsi="宋体" w:cs="宋体"/>
          <w:sz w:val="28"/>
          <w:szCs w:val="28"/>
        </w:rPr>
        <w:t>湖南省高等学校“双一流”建设专项资金管理办法》、《</w:t>
      </w:r>
      <w:r w:rsidR="00930D56">
        <w:rPr>
          <w:rFonts w:ascii="宋体" w:hAnsi="宋体" w:cs="宋体"/>
          <w:sz w:val="28"/>
          <w:szCs w:val="28"/>
        </w:rPr>
        <w:fldChar w:fldCharType="begin"/>
      </w:r>
      <w:r>
        <w:rPr>
          <w:rFonts w:ascii="宋体" w:hAnsi="宋体" w:cs="宋体"/>
          <w:sz w:val="28"/>
          <w:szCs w:val="28"/>
        </w:rPr>
        <w:instrText>ADDIN CNKISM.UserStyle</w:instrText>
      </w:r>
      <w:r w:rsidR="00930D56">
        <w:rPr>
          <w:rFonts w:ascii="宋体" w:hAnsi="宋体" w:cs="宋体"/>
          <w:sz w:val="28"/>
          <w:szCs w:val="28"/>
        </w:rPr>
        <w:fldChar w:fldCharType="end"/>
      </w:r>
      <w:r>
        <w:rPr>
          <w:rFonts w:ascii="宋体" w:hAnsi="宋体" w:cs="宋体"/>
          <w:sz w:val="28"/>
          <w:szCs w:val="28"/>
        </w:rPr>
        <w:t>湖南省高等学校“双一流”学科建设项目管理办法》等文件精神为依据，紧扣一流大学与一流学科建设的总体目标，制定了《吉首大学“双一流”学科建设实施方案》《吉首大学“双一流”学科建设项目管理办法》，分类建立了“双一流”学科（专业群）建设、人才队伍建设、创新人才培养、科学研究和学术合作交流项目库。</w:t>
      </w:r>
    </w:p>
    <w:p w:rsidR="00B87C8A" w:rsidRDefault="002D1C8A">
      <w:pPr>
        <w:tabs>
          <w:tab w:val="left" w:pos="0"/>
        </w:tabs>
        <w:spacing w:line="560" w:lineRule="exact"/>
        <w:ind w:right="25" w:firstLineChars="200" w:firstLine="560"/>
        <w:rPr>
          <w:rFonts w:ascii="宋体" w:hAnsi="宋体" w:cs="宋体" w:hint="default"/>
          <w:color w:val="000000"/>
          <w:sz w:val="28"/>
          <w:szCs w:val="28"/>
        </w:rPr>
      </w:pPr>
      <w:r>
        <w:rPr>
          <w:rFonts w:ascii="宋体" w:hAnsi="宋体" w:cs="宋体"/>
          <w:sz w:val="28"/>
          <w:szCs w:val="28"/>
        </w:rPr>
        <w:t>（2）人才</w:t>
      </w:r>
      <w:r>
        <w:rPr>
          <w:rFonts w:ascii="宋体" w:hAnsi="宋体" w:cs="宋体"/>
          <w:color w:val="000000"/>
          <w:sz w:val="28"/>
          <w:szCs w:val="28"/>
        </w:rPr>
        <w:t>队伍建设方面。主要绩效表现为：遴选“俊彦学者人才工程”人才269人、特聘校外专家13人、启动芙蓉教学名师建设1项、引进高水平博士人才10人、选派攻读博士学位教师25人、学成返校博士18人。</w:t>
      </w:r>
    </w:p>
    <w:p w:rsidR="00B87C8A" w:rsidRDefault="002D1C8A">
      <w:pPr>
        <w:tabs>
          <w:tab w:val="left" w:pos="0"/>
        </w:tabs>
        <w:spacing w:line="560" w:lineRule="exact"/>
        <w:ind w:right="25" w:firstLineChars="200" w:firstLine="560"/>
        <w:rPr>
          <w:rFonts w:ascii="宋体" w:hAnsi="宋体" w:cs="宋体" w:hint="default"/>
          <w:color w:val="000000"/>
          <w:sz w:val="28"/>
          <w:szCs w:val="28"/>
        </w:rPr>
      </w:pPr>
      <w:r>
        <w:rPr>
          <w:rFonts w:ascii="宋体" w:hAnsi="宋体" w:cs="宋体"/>
          <w:color w:val="000000"/>
          <w:sz w:val="28"/>
          <w:szCs w:val="28"/>
        </w:rPr>
        <w:t>（3）人才培养建设方面。获得省级教学成果奖9项、出版国家级规划教材11部、发表教改类论文114篇、本科生获得省部级及以上学科竞赛奖励822项、支撑本科生校级创新项目数73个、本科生省级期刊发表论文数88篇、本科生获得专利数18个；省级研究生培养创新基地通过年度检查2个、验收4个、立项建设4个；选派80余名硕士研究生到各培养创新基地接受科研能力培养和专业实践，发表学术论文50</w:t>
      </w:r>
      <w:r>
        <w:rPr>
          <w:rFonts w:ascii="宋体" w:hAnsi="宋体" w:cs="宋体"/>
          <w:color w:val="000000"/>
          <w:sz w:val="28"/>
          <w:szCs w:val="28"/>
        </w:rPr>
        <w:lastRenderedPageBreak/>
        <w:t>余篇。</w:t>
      </w:r>
    </w:p>
    <w:p w:rsidR="00B87C8A" w:rsidRDefault="002D1C8A">
      <w:pPr>
        <w:tabs>
          <w:tab w:val="left" w:pos="0"/>
        </w:tabs>
        <w:spacing w:line="560" w:lineRule="exact"/>
        <w:ind w:right="25" w:firstLineChars="200" w:firstLine="560"/>
        <w:rPr>
          <w:rFonts w:ascii="宋体" w:hAnsi="宋体" w:cs="宋体" w:hint="default"/>
          <w:color w:val="000000"/>
          <w:sz w:val="28"/>
          <w:szCs w:val="28"/>
        </w:rPr>
      </w:pPr>
      <w:r>
        <w:rPr>
          <w:rFonts w:ascii="宋体" w:hAnsi="宋体" w:cs="宋体"/>
          <w:color w:val="000000"/>
          <w:sz w:val="28"/>
          <w:szCs w:val="28"/>
        </w:rPr>
        <w:t>（4）学科建设方面。制定了《中共吉首大学委员会关于制定学校“十四五”发展规划和二〇三五年远景目标的意见》《吉首大学事业发展“十四五”总体规划（讨论稿）》《吉首大学“十四五”学科专业建设专项规划（2021—2025年）（讨论稿）》。新增信息与通信工程一级学科硕士点1个、新增材料与化工、资源与环境、生物与医药、风景园林等4个专业学位硕士点。</w:t>
      </w:r>
    </w:p>
    <w:p w:rsidR="00B87C8A" w:rsidRDefault="002D1C8A">
      <w:pPr>
        <w:tabs>
          <w:tab w:val="left" w:pos="0"/>
        </w:tabs>
        <w:spacing w:line="560" w:lineRule="exact"/>
        <w:ind w:right="25" w:firstLineChars="200" w:firstLine="560"/>
        <w:rPr>
          <w:rFonts w:ascii="宋体" w:hAnsi="宋体" w:cs="宋体" w:hint="default"/>
          <w:color w:val="000000"/>
          <w:sz w:val="28"/>
          <w:szCs w:val="28"/>
        </w:rPr>
      </w:pPr>
      <w:r>
        <w:rPr>
          <w:rFonts w:ascii="宋体" w:hAnsi="宋体" w:cs="宋体"/>
          <w:color w:val="000000"/>
          <w:sz w:val="28"/>
          <w:szCs w:val="28"/>
        </w:rPr>
        <w:t>（5）科学研究方面。自然科学纵向课题立项82项、签订横向课题37项，到账经费476.37万元；技术转移转化6项，项目金额15.5万元；发表SCI、EI、CPCI、CSCD等科研论文175篇；获省科技成果二等奖2项、省科技成果三等奖4项；授权各类专利83件，其中发明专利25件，实用新型专利49件和外观专利9件。社会科学获得湖南省哲学社科成果奖一等奖2项、二等奖2项，出版专著10余部，发表学术论文200余篇，获省部级以上项目60余项，依托平台获省级以上重大项目2项。</w:t>
      </w:r>
    </w:p>
    <w:p w:rsidR="00B87C8A" w:rsidRDefault="002D1C8A">
      <w:pPr>
        <w:tabs>
          <w:tab w:val="left" w:pos="0"/>
        </w:tabs>
        <w:spacing w:line="560" w:lineRule="exact"/>
        <w:ind w:right="25" w:firstLineChars="200" w:firstLine="560"/>
        <w:rPr>
          <w:rFonts w:ascii="宋体" w:hAnsi="宋体" w:cs="宋体" w:hint="default"/>
          <w:color w:val="000000"/>
          <w:sz w:val="28"/>
          <w:szCs w:val="28"/>
        </w:rPr>
      </w:pPr>
      <w:r>
        <w:rPr>
          <w:rFonts w:ascii="宋体" w:hAnsi="宋体" w:cs="宋体"/>
          <w:color w:val="000000"/>
          <w:sz w:val="28"/>
          <w:szCs w:val="28"/>
        </w:rPr>
        <w:t>（6）国际合作与交流方面。受全球新冠疫情影响，聘请外国专家3人进行线上教学，留学生项目暂未执行。</w:t>
      </w:r>
    </w:p>
    <w:p w:rsidR="00B87C8A" w:rsidRDefault="002D1C8A">
      <w:pPr>
        <w:pStyle w:val="GB2312"/>
        <w:snapToGrid w:val="0"/>
        <w:spacing w:line="560" w:lineRule="exact"/>
        <w:ind w:firstLine="640"/>
        <w:jc w:val="left"/>
        <w:outlineLvl w:val="1"/>
        <w:rPr>
          <w:rFonts w:ascii="黑体" w:eastAsia="黑体" w:hAnsi="黑体" w:cs="黑体" w:hint="default"/>
          <w:sz w:val="32"/>
          <w:szCs w:val="32"/>
        </w:rPr>
      </w:pPr>
      <w:r>
        <w:rPr>
          <w:rFonts w:ascii="黑体" w:eastAsia="黑体" w:hAnsi="黑体" w:cs="黑体"/>
          <w:sz w:val="32"/>
          <w:szCs w:val="32"/>
        </w:rPr>
        <w:t>三、部门整体支出绩效情况</w:t>
      </w:r>
    </w:p>
    <w:p w:rsidR="00B87C8A" w:rsidRDefault="002D1C8A">
      <w:pPr>
        <w:autoSpaceDE w:val="0"/>
        <w:autoSpaceDN w:val="0"/>
        <w:adjustRightInd w:val="0"/>
        <w:spacing w:line="560" w:lineRule="exact"/>
        <w:ind w:firstLineChars="200" w:firstLine="560"/>
        <w:rPr>
          <w:rFonts w:ascii="宋体" w:hAnsi="宋体" w:cs="宋体" w:hint="default"/>
          <w:sz w:val="28"/>
          <w:szCs w:val="28"/>
        </w:rPr>
      </w:pPr>
      <w:r>
        <w:rPr>
          <w:rFonts w:ascii="宋体" w:hAnsi="宋体" w:cs="宋体"/>
          <w:sz w:val="28"/>
          <w:szCs w:val="28"/>
        </w:rPr>
        <w:t>学校预算编制坚持“量入为出、收支平衡，综合预算、统筹资源，保证重点、兼顾一般，厉行节约、讲求绩效”的原则，编制过程采用“两下两上一集中”的程序，反复多次进行调研与论证，确保预算精准、科学。支出预算坚持四结合：经费投入与学校事业发展规划和年度工作要点相结合，保重点项目投入；与资产管理相结合，资金投入充分考虑资产的存量和使用效益，促进资源共享和配置优化；与国家及上级主管部</w:t>
      </w:r>
      <w:r>
        <w:rPr>
          <w:rFonts w:ascii="宋体" w:hAnsi="宋体" w:cs="宋体"/>
          <w:sz w:val="28"/>
          <w:szCs w:val="28"/>
        </w:rPr>
        <w:lastRenderedPageBreak/>
        <w:t>门有关经费控制规定相结合，严格贯彻《党政机关厉行节约反对浪费条例》，“三公经费”支出只减不增，严控一般性经费支出，努力降低行政运行成本；与预算执行绩效相结合，对预算执行不好的、资金效益不高的，少安排或不予安排。按照《2021年度部门整体支出绩效自评</w:t>
      </w:r>
      <w:r>
        <w:rPr>
          <w:rFonts w:ascii="宋体" w:hAnsi="宋体" w:cs="宋体"/>
          <w:spacing w:val="-6"/>
          <w:sz w:val="28"/>
          <w:szCs w:val="28"/>
        </w:rPr>
        <w:t>表》评分标准，综合自评得分97.5分。本年度主要做好了以下工作</w:t>
      </w:r>
      <w:r>
        <w:rPr>
          <w:rFonts w:ascii="宋体" w:hAnsi="宋体" w:cs="宋体"/>
          <w:sz w:val="28"/>
          <w:szCs w:val="28"/>
        </w:rPr>
        <w:t>：</w:t>
      </w:r>
    </w:p>
    <w:p w:rsidR="00B87C8A" w:rsidRDefault="002D1C8A">
      <w:pPr>
        <w:autoSpaceDE w:val="0"/>
        <w:autoSpaceDN w:val="0"/>
        <w:adjustRightInd w:val="0"/>
        <w:spacing w:line="560" w:lineRule="exact"/>
        <w:ind w:firstLineChars="200" w:firstLine="562"/>
        <w:rPr>
          <w:rFonts w:ascii="宋体" w:hAnsi="宋体" w:cs="宋体" w:hint="default"/>
          <w:sz w:val="28"/>
          <w:szCs w:val="28"/>
        </w:rPr>
      </w:pPr>
      <w:r>
        <w:rPr>
          <w:rFonts w:ascii="宋体" w:hAnsi="宋体" w:cs="宋体"/>
          <w:b/>
          <w:sz w:val="28"/>
          <w:szCs w:val="28"/>
        </w:rPr>
        <w:t>（一）以党的建设为统领，为学校事业发展提供了坚强保障</w:t>
      </w:r>
    </w:p>
    <w:p w:rsidR="00B87C8A" w:rsidRDefault="002D1C8A">
      <w:pPr>
        <w:adjustRightInd w:val="0"/>
        <w:snapToGrid w:val="0"/>
        <w:spacing w:line="560" w:lineRule="exact"/>
        <w:ind w:firstLineChars="200" w:firstLine="560"/>
        <w:rPr>
          <w:rFonts w:ascii="宋体" w:hAnsi="宋体" w:cs="宋体" w:hint="default"/>
          <w:sz w:val="28"/>
          <w:szCs w:val="28"/>
        </w:rPr>
      </w:pPr>
      <w:r>
        <w:rPr>
          <w:rFonts w:ascii="宋体" w:hAnsi="宋体" w:cs="宋体"/>
          <w:sz w:val="28"/>
          <w:szCs w:val="28"/>
        </w:rPr>
        <w:t>1.认真落实中央和省委加强政治建设的各项要求，坚持和完善党委领导下的校长负责制，切实加强基层组织建设，学习宣传贯彻党的十九届六中全会精神、湖南省第十二次党代会精神，忠诚拥护“两个确立”、坚决做到“两个维护”、树牢“四个意识”、坚定“四个自信”，坚持“立德树人”根本任务，牢牢把握意识形态工作主导权，着力打造过硬的干部队伍，深入推进党风廉政建设。召开了中共吉首大学第七次党代会，选举产生了新一届党委班子、纪委班子。充分发挥统战、工会、团委和离退休老同志作用，增强党建合力，为学校事业发展提供坚强的政治保障。</w:t>
      </w:r>
    </w:p>
    <w:p w:rsidR="00B87C8A" w:rsidRDefault="002D1C8A">
      <w:pPr>
        <w:spacing w:line="560" w:lineRule="exact"/>
        <w:ind w:firstLine="640"/>
        <w:rPr>
          <w:rFonts w:ascii="宋体" w:hAnsi="宋体" w:cs="宋体" w:hint="default"/>
          <w:sz w:val="28"/>
          <w:szCs w:val="28"/>
        </w:rPr>
      </w:pPr>
      <w:r>
        <w:rPr>
          <w:rFonts w:ascii="宋体" w:hAnsi="宋体" w:cs="宋体"/>
          <w:sz w:val="28"/>
          <w:szCs w:val="28"/>
        </w:rPr>
        <w:t>2.着力加强党建工作。学校成立了机关党委，不断加强机关党支部的建设。同时开展党支部建设调研，修订了《吉首大学党支部工作细则》，落实了新修订的《中国共产党普通高等学校基层组织工作条例》。系统推进党建品牌活动体系化建设，围绕党史学习教育组织开展了党史学习“六百工程”。</w:t>
      </w:r>
    </w:p>
    <w:p w:rsidR="00B87C8A" w:rsidRDefault="002D1C8A">
      <w:pPr>
        <w:spacing w:line="560" w:lineRule="exact"/>
        <w:ind w:firstLine="640"/>
        <w:rPr>
          <w:rFonts w:ascii="宋体" w:hAnsi="宋体" w:cs="宋体" w:hint="default"/>
          <w:sz w:val="28"/>
          <w:szCs w:val="28"/>
        </w:rPr>
      </w:pPr>
      <w:r>
        <w:rPr>
          <w:rFonts w:ascii="宋体" w:hAnsi="宋体" w:cs="宋体"/>
          <w:sz w:val="28"/>
          <w:szCs w:val="28"/>
        </w:rPr>
        <w:t>3.大力弘扬社会主义核心价值观。积极推进“三全育人”综合改革，深入实施“五育人工程”，持续开展“万名师生走进武陵山”社会实践服务品牌活动，组建校级团队2支、院级团队20支，2个博士团开展振</w:t>
      </w:r>
      <w:r>
        <w:rPr>
          <w:rFonts w:ascii="宋体" w:hAnsi="宋体" w:cs="宋体"/>
          <w:sz w:val="28"/>
          <w:szCs w:val="28"/>
        </w:rPr>
        <w:lastRenderedPageBreak/>
        <w:t>兴与产业发展大调查，立项支持14个研究生团队开展专项调查；4支团队获全国青年志愿者服务社区行动“七彩四点半”志愿服务项目“示范团队”称号，1个项目获第五届中国青年志愿服务公益创业大赛金奖，1个项目获得湖南省“雷锋杯”5A项目。</w:t>
      </w:r>
    </w:p>
    <w:p w:rsidR="00B87C8A" w:rsidRDefault="002D1C8A">
      <w:pPr>
        <w:spacing w:line="560" w:lineRule="exact"/>
        <w:ind w:firstLine="640"/>
        <w:rPr>
          <w:rFonts w:ascii="宋体" w:hAnsi="宋体" w:cs="宋体" w:hint="default"/>
          <w:sz w:val="28"/>
          <w:szCs w:val="28"/>
        </w:rPr>
      </w:pPr>
      <w:r>
        <w:rPr>
          <w:rFonts w:ascii="宋体" w:hAnsi="宋体" w:cs="宋体"/>
          <w:sz w:val="28"/>
          <w:szCs w:val="28"/>
        </w:rPr>
        <w:t>4.扎实推进驻村扶贫工作。建立了与润雅乡、五官村的上下联动及振兴帮扶工作机制，对五官村党支部（村委会）队伍进行了重点帮扶和提升其管理能力，完成了对五官村750余户村民的基本走访与记录，策划召开五官村党支部迎接建党100年主题党日活动。配合永顺县相关部门和技术单位对五官村发展做出了详实的规划蓝本。</w:t>
      </w:r>
    </w:p>
    <w:p w:rsidR="00B87C8A" w:rsidRDefault="002D1C8A">
      <w:pPr>
        <w:spacing w:line="560" w:lineRule="exact"/>
        <w:ind w:firstLine="640"/>
        <w:rPr>
          <w:rFonts w:ascii="宋体" w:hAnsi="宋体" w:cs="宋体" w:hint="default"/>
          <w:sz w:val="28"/>
          <w:szCs w:val="28"/>
        </w:rPr>
      </w:pPr>
      <w:r>
        <w:rPr>
          <w:rFonts w:ascii="宋体" w:hAnsi="宋体" w:cs="宋体"/>
          <w:sz w:val="28"/>
          <w:szCs w:val="28"/>
        </w:rPr>
        <w:t>5.不断巩固统战、群团工作。学校青年志愿者协会获评第十三届中国青年志愿者优秀组织奖，构建校、院、社团三位一体的青马工程培训工作格局。全年共组织“青马”骨干网络培训1997人次，线下院级培训307人次，社团骨干培训143人次。外国语学院荣获张家界市五四红旗团总支，法学与公共管理学院荣获湖</w:t>
      </w:r>
      <w:r>
        <w:rPr>
          <w:rFonts w:ascii="宋体" w:hAnsi="宋体" w:cs="宋体"/>
          <w:spacing w:val="-6"/>
          <w:sz w:val="28"/>
          <w:szCs w:val="28"/>
        </w:rPr>
        <w:t>南省五四红旗团总支，19法学二班团支部获评全国“活力团支部”。</w:t>
      </w:r>
    </w:p>
    <w:p w:rsidR="00B87C8A" w:rsidRDefault="002D1C8A">
      <w:pPr>
        <w:autoSpaceDE w:val="0"/>
        <w:autoSpaceDN w:val="0"/>
        <w:adjustRightInd w:val="0"/>
        <w:spacing w:line="560" w:lineRule="exact"/>
        <w:ind w:firstLineChars="200" w:firstLine="562"/>
        <w:rPr>
          <w:rFonts w:ascii="宋体" w:hAnsi="宋体" w:cs="宋体" w:hint="default"/>
          <w:sz w:val="28"/>
          <w:szCs w:val="28"/>
        </w:rPr>
      </w:pPr>
      <w:r>
        <w:rPr>
          <w:rFonts w:ascii="宋体" w:hAnsi="宋体" w:cs="宋体"/>
          <w:b/>
          <w:sz w:val="28"/>
          <w:szCs w:val="28"/>
        </w:rPr>
        <w:t>（二）以第五轮学科评估为契机，有效提升学校核心竞争力</w:t>
      </w:r>
    </w:p>
    <w:p w:rsidR="00B87C8A" w:rsidRDefault="002D1C8A">
      <w:pPr>
        <w:autoSpaceDE w:val="0"/>
        <w:autoSpaceDN w:val="0"/>
        <w:adjustRightInd w:val="0"/>
        <w:spacing w:line="560" w:lineRule="exact"/>
        <w:ind w:firstLineChars="200" w:firstLine="560"/>
        <w:rPr>
          <w:rFonts w:ascii="宋体" w:hAnsi="宋体" w:cs="宋体" w:hint="default"/>
          <w:sz w:val="28"/>
          <w:szCs w:val="28"/>
        </w:rPr>
      </w:pPr>
      <w:r>
        <w:rPr>
          <w:rFonts w:ascii="宋体" w:hAnsi="宋体" w:cs="宋体"/>
          <w:sz w:val="28"/>
          <w:szCs w:val="28"/>
        </w:rPr>
        <w:t>1.制度体制不断深化。本年学校制定了《吉首大学贯彻落实&lt;深化落实新时代教育评价改革总体方案&gt;的工作方案》《吉首大学一流本科专业建设管理办法》《吉首大学学位评定委员会章程》，修订了《吉首大学教学奖励办法》《吉首大学研究生学籍管理规定》。积极推进学校“十四五”及中长期发展规划的编制工作，制订了《吉首大学编制十四五规划推进方案》，出台了《中共吉首大学委员会关于制定学校“十四五”发展规划和二〇三五年远景目标的意见》。</w:t>
      </w:r>
    </w:p>
    <w:p w:rsidR="00B87C8A" w:rsidRDefault="002D1C8A">
      <w:pPr>
        <w:autoSpaceDE w:val="0"/>
        <w:autoSpaceDN w:val="0"/>
        <w:adjustRightInd w:val="0"/>
        <w:spacing w:line="560" w:lineRule="exact"/>
        <w:ind w:firstLineChars="200" w:firstLine="560"/>
        <w:rPr>
          <w:rFonts w:ascii="宋体" w:hAnsi="宋体" w:cs="宋体" w:hint="default"/>
          <w:sz w:val="28"/>
          <w:szCs w:val="28"/>
        </w:rPr>
      </w:pPr>
      <w:r>
        <w:rPr>
          <w:rFonts w:ascii="宋体" w:hAnsi="宋体" w:cs="宋体"/>
          <w:sz w:val="28"/>
          <w:szCs w:val="28"/>
        </w:rPr>
        <w:lastRenderedPageBreak/>
        <w:t>2.学科建设稳步推进。按照“整密联系、统筹兼顾、分层择优、整合申报”的原则，做好了体育学、民族学、生态学等12个学科参评第五轮学科评估申报工作，以之促进学科布局的进一步优化。实施学位点动态调整和培育计划，申报获得“信息与通信工程”一级学科硕士点，“生物与医药”“材料与化工”“资源与环境”“风景园林”等4个专业学位授权类别，撤销“哲学”和“林业工程”等2个一级学科硕士点，增列“新闻传播学”和“基础医学”等2个一级学科硕士点。</w:t>
      </w:r>
    </w:p>
    <w:p w:rsidR="00B87C8A" w:rsidRDefault="002D1C8A">
      <w:pPr>
        <w:spacing w:line="560" w:lineRule="exact"/>
        <w:ind w:firstLine="640"/>
        <w:rPr>
          <w:rFonts w:ascii="宋体" w:hAnsi="宋体" w:cs="宋体" w:hint="default"/>
          <w:sz w:val="28"/>
          <w:szCs w:val="28"/>
        </w:rPr>
      </w:pPr>
      <w:r>
        <w:rPr>
          <w:rFonts w:ascii="宋体" w:hAnsi="宋体" w:cs="宋体"/>
          <w:sz w:val="28"/>
          <w:szCs w:val="28"/>
        </w:rPr>
        <w:t>3.专业建设不断加强。目前已立项8个国家级一流专业建设点，24个省级一流专业，2021年组织、指导学院申报省级国家级一流本科专业，经济学、思想政治教育等21个专业获推荐参评国家级一流专业。同时加强专业课程建设改革，《花样跳绳》等36门课程被认定为湖南省一流本科课程，积极推进汉语言文学和食品科学与技术专业认证。适当控制招生专业，对专业评估不合格、社会需求不旺盛、招生就业形势不好、专业办学水平不高的19个专业进行了停招。</w:t>
      </w:r>
    </w:p>
    <w:p w:rsidR="00B87C8A" w:rsidRDefault="002D1C8A">
      <w:pPr>
        <w:spacing w:line="560" w:lineRule="exact"/>
        <w:ind w:firstLine="640"/>
        <w:rPr>
          <w:rFonts w:ascii="宋体" w:hAnsi="宋体" w:cs="宋体" w:hint="default"/>
          <w:spacing w:val="-6"/>
          <w:sz w:val="28"/>
          <w:szCs w:val="28"/>
        </w:rPr>
      </w:pPr>
      <w:r>
        <w:rPr>
          <w:rFonts w:ascii="宋体" w:hAnsi="宋体" w:cs="宋体"/>
          <w:b/>
          <w:spacing w:val="-6"/>
          <w:sz w:val="28"/>
          <w:szCs w:val="28"/>
        </w:rPr>
        <w:t>（三）以“双一流”建设为牵引，确保了人才培养的中心地位</w:t>
      </w:r>
    </w:p>
    <w:p w:rsidR="00B87C8A" w:rsidRDefault="002D1C8A">
      <w:pPr>
        <w:adjustRightInd w:val="0"/>
        <w:snapToGrid w:val="0"/>
        <w:spacing w:line="560" w:lineRule="exact"/>
        <w:ind w:firstLineChars="200" w:firstLine="560"/>
        <w:rPr>
          <w:rFonts w:ascii="宋体" w:hAnsi="宋体" w:cs="宋体" w:hint="default"/>
          <w:sz w:val="28"/>
          <w:szCs w:val="28"/>
        </w:rPr>
      </w:pPr>
      <w:r>
        <w:rPr>
          <w:rFonts w:ascii="宋体" w:hAnsi="宋体" w:cs="宋体"/>
          <w:sz w:val="28"/>
          <w:szCs w:val="28"/>
        </w:rPr>
        <w:t>1.创新教育成绩斐然。组织大学生研究性学习和创新性实验计划项目申报工作，获国家级29项、省级59项，立项情况为我校历年最好。组织学生参加省级及以上学科竞赛，截至目前，共获省级国家级奖项650项，其中国家级一等奖10项，二等奖37项，三等奖50项，省级特等奖4项、一等奖101项、二等奖191项、三等奖257项。学生在“互联网+”创业大赛中获国家级铜奖1项、省级二等奖1项、三等奖2项。在“挑战杯”竞赛中获全国一等奖1项，三等奖1项，两项作品入围全国主赛道终审决赛，实现了社科类作品全国挑战杯一等奖的历史性突破，</w:t>
      </w:r>
      <w:r>
        <w:rPr>
          <w:rFonts w:ascii="宋体" w:hAnsi="宋体" w:cs="宋体"/>
          <w:sz w:val="28"/>
          <w:szCs w:val="28"/>
        </w:rPr>
        <w:lastRenderedPageBreak/>
        <w:t>获省级一等奖2项、二等奖3项、三等奖7项，学校获评省赛“优胜杯”，分获主赛道和红色赛道两个“优秀组织奖”。</w:t>
      </w:r>
    </w:p>
    <w:p w:rsidR="00B87C8A" w:rsidRDefault="002D1C8A">
      <w:pPr>
        <w:spacing w:line="560" w:lineRule="exact"/>
        <w:ind w:firstLine="640"/>
        <w:rPr>
          <w:rFonts w:ascii="宋体" w:hAnsi="宋体" w:cs="宋体" w:hint="default"/>
          <w:sz w:val="28"/>
          <w:szCs w:val="28"/>
        </w:rPr>
      </w:pPr>
      <w:r>
        <w:rPr>
          <w:rFonts w:ascii="宋体" w:hAnsi="宋体" w:cs="宋体"/>
          <w:sz w:val="28"/>
          <w:szCs w:val="28"/>
        </w:rPr>
        <w:t>2.素质教育不断推进。本年度开出线下通识选修课程152门，其中新开课程30门；与超星、智慧树等公司合作，开出线上通识选修课程100门。选修学生人次高达52962。扎实推进“双百工程”，举行了佳片鉴赏会、电影沙龙、主题电影衍生创作大赛、名著读书会等活动。举办了5期“立人读书沙龙”，邀请刘海平、武吉蓉等校内外专家学者进行讲座，得到参与师生的一致肯定。</w:t>
      </w:r>
    </w:p>
    <w:p w:rsidR="00B87C8A" w:rsidRDefault="002D1C8A">
      <w:pPr>
        <w:spacing w:line="560" w:lineRule="exact"/>
        <w:ind w:firstLine="640"/>
        <w:rPr>
          <w:rFonts w:ascii="宋体" w:hAnsi="宋体" w:cs="宋体" w:hint="default"/>
          <w:sz w:val="28"/>
          <w:szCs w:val="28"/>
        </w:rPr>
      </w:pPr>
      <w:r>
        <w:rPr>
          <w:rFonts w:ascii="宋体" w:hAnsi="宋体" w:cs="宋体"/>
          <w:sz w:val="28"/>
          <w:szCs w:val="28"/>
        </w:rPr>
        <w:t>3.学生工作成绩斐然。学校获评全国大中专学生志愿者暑期“三下乡”社会实践活动优秀单位，获优秀团队3支，七彩假期先进团队8支，“七彩四点半”志愿服务项目示范团队1支，“返家乡”优秀报告1篇，优秀作品3件，获“走进千村观察，助力乡村振兴”全国大学生暑期社会实践专项“国家重点团队”2支。学校获2020年全国大学生志愿服务西部计划“优秀项目办”，获全国第六届大学生艺术展演二等奖1项，获评“优秀组织奖”。</w:t>
      </w:r>
    </w:p>
    <w:p w:rsidR="00B87C8A" w:rsidRDefault="002D1C8A">
      <w:pPr>
        <w:spacing w:line="560" w:lineRule="exact"/>
        <w:ind w:firstLineChars="200" w:firstLine="562"/>
        <w:rPr>
          <w:rFonts w:ascii="宋体" w:hAnsi="宋体" w:cs="宋体" w:hint="default"/>
          <w:sz w:val="28"/>
          <w:szCs w:val="28"/>
        </w:rPr>
      </w:pPr>
      <w:r>
        <w:rPr>
          <w:rFonts w:ascii="宋体" w:hAnsi="宋体" w:cs="宋体"/>
          <w:b/>
          <w:sz w:val="28"/>
          <w:szCs w:val="28"/>
        </w:rPr>
        <w:t>（四）以提升贡献度为目标，持续推动有效科研与社会服务上台阶</w:t>
      </w:r>
    </w:p>
    <w:p w:rsidR="00B87C8A" w:rsidRDefault="002D1C8A">
      <w:pPr>
        <w:spacing w:line="560" w:lineRule="exact"/>
        <w:ind w:firstLineChars="200" w:firstLine="560"/>
        <w:rPr>
          <w:rFonts w:ascii="宋体" w:hAnsi="宋体" w:cs="宋体" w:hint="default"/>
          <w:sz w:val="28"/>
          <w:szCs w:val="28"/>
        </w:rPr>
      </w:pPr>
      <w:r>
        <w:rPr>
          <w:rFonts w:ascii="宋体" w:hAnsi="宋体" w:cs="宋体"/>
          <w:sz w:val="28"/>
          <w:szCs w:val="28"/>
        </w:rPr>
        <w:t>紧扣湖南“三高四新”战略，促进科技成果就地转化，全年科研课题立项287项，获项目经费2368.38万元，其中国家自科基金项目20项，国家社科基金项目16项，重点项目1项。“沈从文与湘西文艺研究中心”“武陵山区乡村振兴与区域发展研究中心”2个平台获批新立项，“乡村振兴研究中心”获批湖南省社会科学创新研究基地。获省优秀青年社会科学专家1名，省优秀社科成果奖23项，省自然科学奖5项。学报两刊学术质量稳中有升，各类文献计量评价数据位居同类期刊前列。</w:t>
      </w:r>
      <w:r>
        <w:rPr>
          <w:rFonts w:ascii="宋体" w:hAnsi="宋体" w:cs="宋体"/>
          <w:sz w:val="28"/>
          <w:szCs w:val="28"/>
        </w:rPr>
        <w:lastRenderedPageBreak/>
        <w:t>主动聚焦乡村振兴战略，建立了与永顺县润雅乡五官村的上下联动及振兴帮扶工作机制，助力永顺莓茶产业的发展。充分发挥“湖南乡村振兴战略研究中心”“武陵山区发展论坛”等平台的作用，围绕乡村振兴、民族团结进步创建、筑牢中华民族共同体意识等开展20多场次辅导报告、学术讲座和咨询服务。全面深化校地合作，建立校地合作联席会议机制，成立校地合作工作专班推动校地合作具体事项落地落实。</w:t>
      </w:r>
    </w:p>
    <w:p w:rsidR="00B87C8A" w:rsidRDefault="002D1C8A">
      <w:pPr>
        <w:spacing w:line="560" w:lineRule="exact"/>
        <w:ind w:firstLineChars="200" w:firstLine="562"/>
        <w:rPr>
          <w:rFonts w:ascii="宋体" w:hAnsi="宋体" w:cs="宋体" w:hint="default"/>
          <w:sz w:val="28"/>
          <w:szCs w:val="28"/>
        </w:rPr>
      </w:pPr>
      <w:r>
        <w:rPr>
          <w:rFonts w:ascii="宋体" w:hAnsi="宋体" w:cs="宋体"/>
          <w:b/>
          <w:sz w:val="28"/>
          <w:szCs w:val="28"/>
        </w:rPr>
        <w:t>（五）以坚持人才强校为核心，着力提升了人才队伍素质</w:t>
      </w:r>
    </w:p>
    <w:p w:rsidR="00B87C8A" w:rsidRDefault="002D1C8A">
      <w:pPr>
        <w:spacing w:line="560" w:lineRule="exact"/>
        <w:ind w:firstLineChars="200" w:firstLine="560"/>
        <w:rPr>
          <w:rFonts w:ascii="宋体" w:hAnsi="宋体" w:cs="宋体" w:hint="default"/>
          <w:sz w:val="28"/>
          <w:szCs w:val="28"/>
        </w:rPr>
      </w:pPr>
      <w:r>
        <w:rPr>
          <w:rFonts w:ascii="宋体" w:hAnsi="宋体" w:cs="宋体"/>
          <w:sz w:val="28"/>
          <w:szCs w:val="28"/>
        </w:rPr>
        <w:t>1.优化人才引进。全年引进博士10名，推荐、考取博士25人，学成返校博士18人。以效率为导向，兼顾历史贡献，修订完善了俊彦人才计划，提高了入选门槛，明确了入选期间的任务要求，启动俊彦人才工程的阶段性和聘期考核，稳定了一批学科带头人和学术骨干。</w:t>
      </w:r>
    </w:p>
    <w:p w:rsidR="00B87C8A" w:rsidRDefault="002D1C8A">
      <w:pPr>
        <w:spacing w:line="540" w:lineRule="exact"/>
        <w:ind w:firstLineChars="200" w:firstLine="560"/>
        <w:rPr>
          <w:rFonts w:ascii="宋体" w:hAnsi="宋体" w:cs="宋体" w:hint="default"/>
          <w:sz w:val="28"/>
          <w:szCs w:val="28"/>
        </w:rPr>
      </w:pPr>
      <w:r>
        <w:rPr>
          <w:rFonts w:ascii="宋体" w:hAnsi="宋体" w:cs="宋体"/>
          <w:sz w:val="28"/>
          <w:szCs w:val="28"/>
        </w:rPr>
        <w:t>2.完善人事制度。完成了新一轮俊彦学者人才工程实施方案的调研、起草，拟定了《特聘教授、讲座教授管理办法》文件初稿，完成三类培训协议《吉首大学定向培养博士研究生协议书》《吉首大学非定向培养博士研究生协议书》《吉首大学定向培养硕士研究生协议书》的修订并实施，制定并发文了《吉首大学师德师风建设年实施方案》。</w:t>
      </w:r>
    </w:p>
    <w:p w:rsidR="00B87C8A" w:rsidRDefault="002D1C8A">
      <w:pPr>
        <w:spacing w:line="540" w:lineRule="exact"/>
        <w:ind w:firstLine="640"/>
        <w:rPr>
          <w:rFonts w:ascii="宋体" w:hAnsi="宋体" w:cs="宋体" w:hint="default"/>
          <w:sz w:val="28"/>
          <w:szCs w:val="28"/>
        </w:rPr>
      </w:pPr>
      <w:r>
        <w:rPr>
          <w:rFonts w:ascii="宋体" w:hAnsi="宋体" w:cs="宋体"/>
          <w:sz w:val="28"/>
          <w:szCs w:val="28"/>
        </w:rPr>
        <w:t>3.抓好人才培养工作。全年共办理60余人的教育培训审批手续，考取博士24人；教育部2021年“高校思想政治工作骨干在职攻读博士学位专项计划”项目推荐1人；实施课程进修和学术访问4人。资助：省芙蓉学者9人、省芙蓉教学名师1人、湖湘青年英才支持计划4人、湖湘高层次人才聚集工程1人、高端人才1人、30名教师获湖南省青年骨干教师。</w:t>
      </w:r>
    </w:p>
    <w:p w:rsidR="00B87C8A" w:rsidRDefault="002D1C8A">
      <w:pPr>
        <w:spacing w:line="540" w:lineRule="exact"/>
        <w:ind w:firstLine="640"/>
        <w:rPr>
          <w:rFonts w:ascii="宋体" w:hAnsi="宋体" w:cs="宋体" w:hint="default"/>
          <w:sz w:val="28"/>
          <w:szCs w:val="28"/>
        </w:rPr>
      </w:pPr>
      <w:r>
        <w:rPr>
          <w:rFonts w:ascii="宋体" w:hAnsi="宋体" w:cs="宋体"/>
          <w:b/>
          <w:sz w:val="28"/>
          <w:szCs w:val="28"/>
        </w:rPr>
        <w:t>（六）以改善问题为导向，积极稳妥的推进学校提质升级</w:t>
      </w:r>
    </w:p>
    <w:p w:rsidR="00B87C8A" w:rsidRDefault="002D1C8A">
      <w:pPr>
        <w:spacing w:line="540" w:lineRule="exact"/>
        <w:ind w:firstLine="640"/>
        <w:rPr>
          <w:rFonts w:ascii="宋体" w:hAnsi="宋体" w:cs="宋体" w:hint="default"/>
          <w:sz w:val="28"/>
          <w:szCs w:val="28"/>
        </w:rPr>
      </w:pPr>
      <w:r>
        <w:rPr>
          <w:rFonts w:ascii="宋体" w:hAnsi="宋体" w:cs="宋体"/>
          <w:sz w:val="28"/>
          <w:szCs w:val="28"/>
        </w:rPr>
        <w:lastRenderedPageBreak/>
        <w:t>积极推进现代大学治理能力和治理水平建设，启动了《吉首大学章程》修订工作。科学编制预算，刚性执行预算，奋力拓展财源，加大创收和资金争取力度，保障学校事业发展。成功实现了吉首大学张家界学院按新规转设，成为湖南省独立学院转设的榜样，受到省领导表扬。认真谋划学校资产经营和校办企业发展，制定了《吉首大学保留企业体制改革实施方案》，完成了6家全民所有制企业、12家分支机构的注销工作。加强内部控制，规范会议管理、人事管理、项目管理、活动管理和招投标管理，完成各类审计项目600余次，促进增收节支371.58万元。</w:t>
      </w:r>
    </w:p>
    <w:p w:rsidR="00B87C8A" w:rsidRDefault="002D1C8A">
      <w:pPr>
        <w:spacing w:line="540" w:lineRule="exact"/>
        <w:ind w:firstLine="640"/>
        <w:rPr>
          <w:rFonts w:ascii="黑体" w:eastAsia="黑体" w:hAnsi="黑体" w:cs="黑体" w:hint="default"/>
          <w:sz w:val="32"/>
          <w:szCs w:val="32"/>
        </w:rPr>
      </w:pPr>
      <w:r>
        <w:rPr>
          <w:rFonts w:ascii="黑体" w:eastAsia="黑体" w:hAnsi="黑体" w:cs="黑体"/>
          <w:sz w:val="32"/>
          <w:szCs w:val="32"/>
        </w:rPr>
        <w:t>四、存在的主要问题及下一步改进措施</w:t>
      </w:r>
    </w:p>
    <w:p w:rsidR="00B87C8A" w:rsidRDefault="002D1C8A">
      <w:pPr>
        <w:spacing w:line="540" w:lineRule="exact"/>
        <w:ind w:firstLine="640"/>
        <w:rPr>
          <w:rFonts w:ascii="宋体" w:hAnsi="宋体" w:cs="宋体" w:hint="default"/>
          <w:sz w:val="28"/>
          <w:szCs w:val="28"/>
        </w:rPr>
      </w:pPr>
      <w:r>
        <w:rPr>
          <w:rFonts w:ascii="宋体" w:hAnsi="宋体" w:cs="宋体"/>
          <w:b/>
          <w:sz w:val="28"/>
          <w:szCs w:val="28"/>
        </w:rPr>
        <w:t>（一）存在的主要问题</w:t>
      </w:r>
    </w:p>
    <w:p w:rsidR="00B87C8A" w:rsidRDefault="002D1C8A">
      <w:pPr>
        <w:spacing w:line="540" w:lineRule="exact"/>
        <w:ind w:firstLine="640"/>
        <w:rPr>
          <w:rFonts w:ascii="宋体" w:hAnsi="宋体" w:cs="宋体" w:hint="default"/>
          <w:sz w:val="28"/>
          <w:szCs w:val="28"/>
        </w:rPr>
      </w:pPr>
      <w:r>
        <w:rPr>
          <w:rFonts w:ascii="宋体" w:hAnsi="宋体" w:cs="宋体"/>
          <w:sz w:val="28"/>
          <w:szCs w:val="28"/>
        </w:rPr>
        <w:t>1.个别项目经费的预算绩效目标还不明晰，缺乏定量的评价指标，影响了评价结论的科学性。</w:t>
      </w:r>
    </w:p>
    <w:p w:rsidR="00B87C8A" w:rsidRDefault="002D1C8A">
      <w:pPr>
        <w:spacing w:line="560" w:lineRule="exact"/>
        <w:ind w:firstLine="640"/>
        <w:rPr>
          <w:rFonts w:ascii="宋体" w:hAnsi="宋体" w:cs="宋体" w:hint="default"/>
          <w:sz w:val="28"/>
          <w:szCs w:val="28"/>
        </w:rPr>
      </w:pPr>
      <w:r>
        <w:rPr>
          <w:rFonts w:ascii="宋体" w:hAnsi="宋体" w:cs="宋体"/>
          <w:sz w:val="28"/>
          <w:szCs w:val="28"/>
        </w:rPr>
        <w:t>2.个别专项经费的预算支出进度较慢，未能按项目预算规定的进度实施，影响了预算支出的完成率。</w:t>
      </w:r>
    </w:p>
    <w:p w:rsidR="00B87C8A" w:rsidRDefault="002D1C8A">
      <w:pPr>
        <w:spacing w:line="560" w:lineRule="exact"/>
        <w:ind w:firstLine="640"/>
        <w:rPr>
          <w:rFonts w:ascii="宋体" w:hAnsi="宋体" w:cs="宋体" w:hint="default"/>
          <w:sz w:val="28"/>
          <w:szCs w:val="28"/>
        </w:rPr>
      </w:pPr>
      <w:r>
        <w:rPr>
          <w:rFonts w:ascii="宋体" w:hAnsi="宋体" w:cs="宋体"/>
          <w:sz w:val="28"/>
          <w:szCs w:val="28"/>
        </w:rPr>
        <w:t>3.个别专项经费的预算绩效不明显，与绩效目标还存在一定的差距。</w:t>
      </w:r>
    </w:p>
    <w:p w:rsidR="00B87C8A" w:rsidRDefault="002D1C8A">
      <w:pPr>
        <w:spacing w:line="560" w:lineRule="exact"/>
        <w:ind w:firstLine="640"/>
        <w:rPr>
          <w:rFonts w:ascii="宋体" w:hAnsi="宋体" w:cs="宋体" w:hint="default"/>
          <w:sz w:val="28"/>
          <w:szCs w:val="28"/>
        </w:rPr>
      </w:pPr>
      <w:r>
        <w:rPr>
          <w:rFonts w:ascii="宋体" w:hAnsi="宋体" w:cs="宋体"/>
          <w:b/>
          <w:sz w:val="28"/>
          <w:szCs w:val="28"/>
        </w:rPr>
        <w:t>（二）改进措施</w:t>
      </w:r>
    </w:p>
    <w:p w:rsidR="00B87C8A" w:rsidRDefault="002D1C8A">
      <w:pPr>
        <w:spacing w:line="560" w:lineRule="exact"/>
        <w:ind w:firstLine="640"/>
        <w:rPr>
          <w:rFonts w:ascii="宋体" w:hAnsi="宋体" w:cs="宋体" w:hint="default"/>
          <w:sz w:val="28"/>
          <w:szCs w:val="28"/>
        </w:rPr>
      </w:pPr>
      <w:r>
        <w:rPr>
          <w:rFonts w:ascii="宋体" w:hAnsi="宋体" w:cs="宋体"/>
          <w:sz w:val="28"/>
          <w:szCs w:val="28"/>
        </w:rPr>
        <w:t>1.强化预算编制科学性。持续强化预算调研和论证工作，充分考虑执行过程中的各项影响因素，做好解决措施预案，使预算方案具备较高的全面性、准确性、科学性。</w:t>
      </w:r>
    </w:p>
    <w:p w:rsidR="00B87C8A" w:rsidRDefault="002D1C8A">
      <w:pPr>
        <w:spacing w:line="560" w:lineRule="exact"/>
        <w:ind w:firstLineChars="200" w:firstLine="560"/>
        <w:rPr>
          <w:rFonts w:ascii="宋体" w:hAnsi="宋体" w:cs="宋体" w:hint="default"/>
          <w:sz w:val="28"/>
          <w:szCs w:val="28"/>
        </w:rPr>
      </w:pPr>
      <w:r>
        <w:rPr>
          <w:rFonts w:ascii="宋体" w:hAnsi="宋体" w:cs="宋体"/>
          <w:sz w:val="28"/>
          <w:szCs w:val="28"/>
        </w:rPr>
        <w:t>2.强化预算执行跟踪问效。加强对预算执行过程监督与跟踪，重点预警预算执行较差及未及时报账的项目。对于当年不能执行或执行不完的项目，按照省厅及学校的预算管理要求，及时调整。</w:t>
      </w:r>
    </w:p>
    <w:p w:rsidR="00B87C8A" w:rsidRDefault="002D1C8A">
      <w:pPr>
        <w:spacing w:line="560" w:lineRule="exact"/>
        <w:ind w:firstLineChars="200" w:firstLine="560"/>
        <w:rPr>
          <w:rFonts w:ascii="宋体" w:hAnsi="宋体" w:cs="宋体" w:hint="default"/>
          <w:sz w:val="28"/>
          <w:szCs w:val="28"/>
        </w:rPr>
      </w:pPr>
      <w:r>
        <w:rPr>
          <w:rFonts w:ascii="宋体" w:hAnsi="宋体" w:cs="宋体"/>
          <w:sz w:val="28"/>
          <w:szCs w:val="28"/>
        </w:rPr>
        <w:t>3.强化预算绩效评价。加强年度资金执行绩效考评，在对预算执行</w:t>
      </w:r>
      <w:r>
        <w:rPr>
          <w:rFonts w:ascii="宋体" w:hAnsi="宋体" w:cs="宋体"/>
          <w:sz w:val="28"/>
          <w:szCs w:val="28"/>
        </w:rPr>
        <w:lastRenderedPageBreak/>
        <w:t>较差及绩效目标不明显的项目在一定范围内通报的同时注重评价结果反馈与应用。</w:t>
      </w:r>
    </w:p>
    <w:p w:rsidR="00B87C8A" w:rsidRDefault="002D1C8A">
      <w:pPr>
        <w:spacing w:line="560" w:lineRule="exact"/>
        <w:ind w:firstLineChars="200" w:firstLine="560"/>
        <w:rPr>
          <w:rFonts w:ascii="宋体" w:hAnsi="宋体" w:cs="宋体" w:hint="default"/>
          <w:sz w:val="28"/>
          <w:szCs w:val="28"/>
        </w:rPr>
      </w:pPr>
      <w:r>
        <w:rPr>
          <w:rFonts w:ascii="宋体" w:hAnsi="宋体" w:cs="宋体"/>
          <w:sz w:val="28"/>
          <w:szCs w:val="28"/>
        </w:rPr>
        <w:t>4.统筹整体支出绩效评价及其他考评检查工作，提炼共性内容，共享评价成果，形成综合的考评工作机制，减少重复工作投入，提升工作效能，切实达到以评促建的效果。</w:t>
      </w:r>
    </w:p>
    <w:p w:rsidR="00B87C8A" w:rsidRDefault="00B87C8A">
      <w:pPr>
        <w:autoSpaceDE w:val="0"/>
        <w:autoSpaceDN w:val="0"/>
        <w:adjustRightInd w:val="0"/>
        <w:ind w:firstLine="0"/>
        <w:jc w:val="left"/>
        <w:rPr>
          <w:rFonts w:ascii="宋体" w:hAnsi="Chiller" w:cs="宋体" w:hint="default"/>
          <w:kern w:val="0"/>
          <w:sz w:val="18"/>
          <w:szCs w:val="18"/>
          <w:lang w:val="zh-CN"/>
        </w:rPr>
      </w:pPr>
    </w:p>
    <w:sectPr w:rsidR="00B87C8A" w:rsidSect="00B87C8A">
      <w:pgSz w:w="12240" w:h="15840"/>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29D8" w:rsidRDefault="000E29D8" w:rsidP="002D1C8A">
      <w:pPr>
        <w:rPr>
          <w:rFonts w:hint="default"/>
        </w:rPr>
      </w:pPr>
      <w:r>
        <w:separator/>
      </w:r>
    </w:p>
  </w:endnote>
  <w:endnote w:type="continuationSeparator" w:id="1">
    <w:p w:rsidR="000E29D8" w:rsidRDefault="000E29D8" w:rsidP="002D1C8A">
      <w:pPr>
        <w:rPr>
          <w:rFonts w:hint="default"/>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hiller">
    <w:panose1 w:val="040204040310070206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29D8" w:rsidRDefault="000E29D8" w:rsidP="002D1C8A">
      <w:pPr>
        <w:rPr>
          <w:rFonts w:hint="default"/>
        </w:rPr>
      </w:pPr>
      <w:r>
        <w:separator/>
      </w:r>
    </w:p>
  </w:footnote>
  <w:footnote w:type="continuationSeparator" w:id="1">
    <w:p w:rsidR="000E29D8" w:rsidRDefault="000E29D8" w:rsidP="002D1C8A">
      <w:pPr>
        <w:rPr>
          <w:rFonts w:hint="default"/>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stylePaneFormatFilter w:val="3F01"/>
  <w:defaultTabStop w:val="720"/>
  <w:drawingGridHorizontalSpacing w:val="120"/>
  <w:drawingGridVerticalSpacing w:val="120"/>
  <w:doNotUseMarginsForDrawingGridOrigin/>
  <w:doNotShadeFormData/>
  <w:characterSpacingControl w:val="compressPunctuation"/>
  <w:doNotValidateAgainstSchema/>
  <w:doNotDemarcateInvalidXml/>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jVlMjViYmUxNzJiNTAzNzhhYWU1OTMyYWE3NmUxYjAifQ=="/>
  </w:docVars>
  <w:rsids>
    <w:rsidRoot w:val="00172A27"/>
    <w:rsid w:val="000E29D8"/>
    <w:rsid w:val="00172A27"/>
    <w:rsid w:val="002D1C8A"/>
    <w:rsid w:val="003F0F38"/>
    <w:rsid w:val="00803058"/>
    <w:rsid w:val="00930D56"/>
    <w:rsid w:val="009D261B"/>
    <w:rsid w:val="00A462A7"/>
    <w:rsid w:val="00A8447A"/>
    <w:rsid w:val="00B237E9"/>
    <w:rsid w:val="00B87C8A"/>
    <w:rsid w:val="00D0235F"/>
    <w:rsid w:val="00D472CF"/>
    <w:rsid w:val="00EA3479"/>
    <w:rsid w:val="0C0F5B4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1" w:count="267">
    <w:lsdException w:name="Normal" w:uiPriority="0" w:unhideWhenUsed="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1" w:qFormat="0"/>
    <w:lsdException w:name="footer" w:unhideWhenUsed="1" w:qFormat="0"/>
    <w:lsdException w:name="caption" w:uiPriority="35"/>
    <w:lsdException w:name="Title" w:uiPriority="10"/>
    <w:lsdException w:name="Default Paragraph Font" w:uiPriority="1" w:unhideWhenUsed="1" w:qFormat="0"/>
    <w:lsdException w:name="Subtitle" w:uiPriority="11"/>
    <w:lsdException w:name="Date" w:unhideWhenUsed="1" w:qFormat="0"/>
    <w:lsdException w:name="Strong" w:uiPriority="22"/>
    <w:lsdException w:name="Emphasis" w:uiPriority="20"/>
    <w:lsdException w:name="HTML Top of Form" w:semiHidden="1" w:unhideWhenUsed="1" w:qFormat="0"/>
    <w:lsdException w:name="HTML Bottom of Form" w:semiHidden="1" w:unhideWhenUsed="1" w:qFormat="0"/>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Table Grid" w:uiPriority="59"/>
    <w:lsdException w:name="Placeholder Text" w:semiHidden="1" w:unhideWhenUsed="1" w:qFormat="0"/>
    <w:lsdException w:name="No Spacing" w:semiHidden="1" w:unhideWhenUsed="1"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qFormat="0"/>
    <w:lsdException w:name="List Paragraph" w:uiPriority="34" w:unhideWhenUsed="1"/>
    <w:lsdException w:name="Quote" w:semiHidden="1" w:unhideWhenUsed="1" w:qFormat="0"/>
    <w:lsdException w:name="Intense Quote" w:semiHidden="1" w:unhideWhenUsed="1"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unhideWhenUsed/>
    <w:qFormat/>
    <w:rsid w:val="00B87C8A"/>
    <w:pPr>
      <w:widowControl w:val="0"/>
      <w:ind w:firstLine="641"/>
      <w:jc w:val="both"/>
    </w:pPr>
    <w:rPr>
      <w:rFonts w:ascii="Calibri" w:hAnsi="Calibri" w:hint="eastAsia"/>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rsid w:val="00B87C8A"/>
    <w:pPr>
      <w:ind w:leftChars="2500" w:left="100"/>
    </w:pPr>
  </w:style>
  <w:style w:type="paragraph" w:styleId="a4">
    <w:name w:val="footer"/>
    <w:basedOn w:val="a"/>
    <w:link w:val="Char0"/>
    <w:uiPriority w:val="99"/>
    <w:unhideWhenUsed/>
    <w:rsid w:val="00B87C8A"/>
    <w:pPr>
      <w:tabs>
        <w:tab w:val="center" w:pos="4153"/>
        <w:tab w:val="right" w:pos="8306"/>
      </w:tabs>
      <w:snapToGrid w:val="0"/>
      <w:jc w:val="left"/>
    </w:pPr>
    <w:rPr>
      <w:sz w:val="18"/>
      <w:szCs w:val="18"/>
    </w:rPr>
  </w:style>
  <w:style w:type="paragraph" w:styleId="a5">
    <w:name w:val="header"/>
    <w:basedOn w:val="a"/>
    <w:link w:val="Char1"/>
    <w:uiPriority w:val="99"/>
    <w:unhideWhenUsed/>
    <w:rsid w:val="00B87C8A"/>
    <w:pPr>
      <w:pBdr>
        <w:bottom w:val="single" w:sz="6" w:space="1" w:color="auto"/>
      </w:pBdr>
      <w:tabs>
        <w:tab w:val="center" w:pos="4153"/>
        <w:tab w:val="right" w:pos="8306"/>
      </w:tabs>
      <w:snapToGrid w:val="0"/>
      <w:jc w:val="center"/>
    </w:pPr>
    <w:rPr>
      <w:sz w:val="18"/>
      <w:szCs w:val="18"/>
    </w:rPr>
  </w:style>
  <w:style w:type="paragraph" w:customStyle="1" w:styleId="Default">
    <w:name w:val="Default"/>
    <w:unhideWhenUsed/>
    <w:qFormat/>
    <w:rsid w:val="00B87C8A"/>
    <w:pPr>
      <w:widowControl w:val="0"/>
      <w:autoSpaceDE w:val="0"/>
      <w:autoSpaceDN w:val="0"/>
      <w:adjustRightInd w:val="0"/>
      <w:ind w:firstLine="641"/>
      <w:jc w:val="both"/>
    </w:pPr>
    <w:rPr>
      <w:rFonts w:ascii="黑体" w:eastAsia="黑体" w:hAnsi="Calibri" w:cs="黑体" w:hint="eastAsia"/>
      <w:color w:val="000000"/>
      <w:sz w:val="24"/>
      <w:szCs w:val="24"/>
    </w:rPr>
  </w:style>
  <w:style w:type="paragraph" w:styleId="a6">
    <w:name w:val="List Paragraph"/>
    <w:basedOn w:val="a"/>
    <w:uiPriority w:val="34"/>
    <w:unhideWhenUsed/>
    <w:qFormat/>
    <w:rsid w:val="00B87C8A"/>
    <w:pPr>
      <w:ind w:firstLineChars="200" w:firstLine="420"/>
    </w:pPr>
  </w:style>
  <w:style w:type="paragraph" w:customStyle="1" w:styleId="GB2312">
    <w:name w:val="样式 仿宋_GB2312 四号"/>
    <w:basedOn w:val="a"/>
    <w:unhideWhenUsed/>
    <w:qFormat/>
    <w:rsid w:val="00B87C8A"/>
    <w:pPr>
      <w:spacing w:line="520" w:lineRule="exact"/>
      <w:ind w:firstLineChars="200" w:firstLine="200"/>
    </w:pPr>
    <w:rPr>
      <w:rFonts w:ascii="仿宋_GB2312" w:eastAsia="仿宋_GB2312" w:hAnsi="仿宋_GB2312" w:cs="宋体"/>
      <w:sz w:val="28"/>
      <w:szCs w:val="20"/>
    </w:rPr>
  </w:style>
  <w:style w:type="character" w:customStyle="1" w:styleId="Char1">
    <w:name w:val="页眉 Char"/>
    <w:basedOn w:val="a0"/>
    <w:link w:val="a5"/>
    <w:uiPriority w:val="99"/>
    <w:unhideWhenUsed/>
    <w:locked/>
    <w:rsid w:val="00B87C8A"/>
    <w:rPr>
      <w:rFonts w:cs="Times New Roman" w:hint="default"/>
      <w:sz w:val="18"/>
      <w:szCs w:val="18"/>
    </w:rPr>
  </w:style>
  <w:style w:type="character" w:customStyle="1" w:styleId="Char0">
    <w:name w:val="页脚 Char"/>
    <w:basedOn w:val="a0"/>
    <w:link w:val="a4"/>
    <w:uiPriority w:val="99"/>
    <w:unhideWhenUsed/>
    <w:locked/>
    <w:rsid w:val="00B87C8A"/>
    <w:rPr>
      <w:rFonts w:cs="Times New Roman" w:hint="default"/>
      <w:sz w:val="18"/>
      <w:szCs w:val="18"/>
    </w:rPr>
  </w:style>
  <w:style w:type="character" w:customStyle="1" w:styleId="Char">
    <w:name w:val="日期 Char"/>
    <w:basedOn w:val="a0"/>
    <w:link w:val="a3"/>
    <w:uiPriority w:val="99"/>
    <w:unhideWhenUsed/>
    <w:locked/>
    <w:rsid w:val="00B87C8A"/>
    <w:rPr>
      <w:rFonts w:cs="Times New Roman" w:hint="default"/>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58</Pages>
  <Words>4671</Words>
  <Characters>26629</Characters>
  <Application>Microsoft Office Word</Application>
  <DocSecurity>0</DocSecurity>
  <Lines>221</Lines>
  <Paragraphs>62</Paragraphs>
  <ScaleCrop>false</ScaleCrop>
  <Company/>
  <LinksUpToDate>false</LinksUpToDate>
  <CharactersWithSpaces>31238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150</cp:revision>
  <dcterms:created xsi:type="dcterms:W3CDTF">2022-09-15T13:09:00Z</dcterms:created>
  <dcterms:modified xsi:type="dcterms:W3CDTF">2022-09-16T04:08:00Z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D673B90D89CD41788A5811CB003F4069</vt:lpwstr>
  </property>
</Properties>
</file>