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87C8A" w:rsidRDefault="00B87C8A">
      <w:pPr>
        <w:autoSpaceDE w:val="0"/>
        <w:autoSpaceDN w:val="0"/>
        <w:adjustRightInd w:val="0"/>
        <w:rPr>
          <w:rFonts w:ascii="黑体" w:eastAsia="黑体" w:cs="黑体"/>
          <w:sz w:val="84"/>
          <w:szCs w:val="84"/>
        </w:rPr>
      </w:pPr>
    </w:p>
    <w:p w:rsidR="00B87C8A" w:rsidRDefault="00B87C8A">
      <w:pPr>
        <w:autoSpaceDE w:val="0"/>
        <w:autoSpaceDN w:val="0"/>
        <w:adjustRightInd w:val="0"/>
        <w:rPr>
          <w:rFonts w:ascii="黑体" w:eastAsia="黑体" w:cs="黑体"/>
          <w:sz w:val="84"/>
          <w:szCs w:val="84"/>
        </w:rPr>
      </w:pPr>
      <w:bookmarkStart w:id="0" w:name="_GoBack"/>
      <w:bookmarkEnd w:id="0"/>
    </w:p>
    <w:p w:rsidR="00B87C8A" w:rsidRDefault="00B87C8A">
      <w:pPr>
        <w:autoSpaceDE w:val="0"/>
        <w:autoSpaceDN w:val="0"/>
        <w:adjustRightInd w:val="0"/>
        <w:rPr>
          <w:rFonts w:ascii="黑体" w:eastAsia="黑体" w:cs="黑体"/>
          <w:sz w:val="84"/>
          <w:szCs w:val="84"/>
        </w:rPr>
      </w:pPr>
    </w:p>
    <w:p w:rsidR="00B87C8A" w:rsidRDefault="00B87C8A">
      <w:pPr>
        <w:autoSpaceDE w:val="0"/>
        <w:autoSpaceDN w:val="0"/>
        <w:adjustRightInd w:val="0"/>
        <w:rPr>
          <w:rFonts w:ascii="黑体" w:eastAsia="黑体" w:cs="黑体"/>
          <w:sz w:val="84"/>
          <w:szCs w:val="84"/>
        </w:rPr>
      </w:pPr>
    </w:p>
    <w:p w:rsidR="00B87C8A" w:rsidRDefault="00AB139F">
      <w:pPr>
        <w:autoSpaceDE w:val="0"/>
        <w:autoSpaceDN w:val="0"/>
        <w:adjustRightInd w:val="0"/>
        <w:jc w:val="center"/>
        <w:rPr>
          <w:rFonts w:ascii="Times New Roman" w:eastAsia="黑体" w:hAnsi="Times New Roman"/>
          <w:b/>
          <w:sz w:val="96"/>
          <w:szCs w:val="96"/>
        </w:rPr>
      </w:pPr>
      <w:r>
        <w:rPr>
          <w:rFonts w:ascii="黑体" w:eastAsia="黑体" w:cs="黑体"/>
          <w:b/>
          <w:sz w:val="96"/>
          <w:szCs w:val="96"/>
        </w:rPr>
        <w:t>202</w:t>
      </w:r>
      <w:r>
        <w:rPr>
          <w:rFonts w:ascii="黑体" w:eastAsia="黑体" w:cs="黑体" w:hint="eastAsia"/>
          <w:b/>
          <w:sz w:val="96"/>
          <w:szCs w:val="96"/>
        </w:rPr>
        <w:t>2</w:t>
      </w:r>
      <w:r w:rsidR="002D1C8A">
        <w:rPr>
          <w:rFonts w:ascii="黑体" w:eastAsia="黑体" w:cs="黑体"/>
          <w:b/>
          <w:sz w:val="96"/>
          <w:szCs w:val="96"/>
        </w:rPr>
        <w:t>年度</w:t>
      </w:r>
    </w:p>
    <w:p w:rsidR="00B87C8A" w:rsidRDefault="002D1C8A">
      <w:pPr>
        <w:autoSpaceDE w:val="0"/>
        <w:autoSpaceDN w:val="0"/>
        <w:adjustRightInd w:val="0"/>
        <w:jc w:val="center"/>
        <w:rPr>
          <w:rFonts w:ascii="黑体" w:eastAsia="黑体" w:hAnsi="Times New Roman" w:cs="黑体"/>
          <w:sz w:val="84"/>
          <w:szCs w:val="84"/>
        </w:rPr>
        <w:sectPr w:rsidR="00B87C8A" w:rsidSect="00612DDE">
          <w:pgSz w:w="12240" w:h="15840"/>
          <w:pgMar w:top="1440" w:right="1800" w:bottom="1440" w:left="1800" w:header="720" w:footer="720" w:gutter="0"/>
          <w:cols w:space="720"/>
          <w:docGrid w:linePitch="326"/>
        </w:sectPr>
      </w:pPr>
      <w:r>
        <w:rPr>
          <w:rFonts w:ascii="黑体" w:eastAsia="黑体" w:hAnsi="Times New Roman" w:cs="黑体"/>
          <w:b/>
          <w:sz w:val="96"/>
          <w:szCs w:val="96"/>
          <w:lang w:val="zh-CN"/>
        </w:rPr>
        <w:t>吉首大学</w:t>
      </w:r>
      <w:r>
        <w:rPr>
          <w:rFonts w:ascii="黑体" w:eastAsia="黑体" w:hAnsi="Times New Roman" w:cs="黑体"/>
          <w:b/>
          <w:sz w:val="96"/>
          <w:szCs w:val="96"/>
        </w:rPr>
        <w:t>部门决算</w:t>
      </w:r>
    </w:p>
    <w:p w:rsidR="00B87C8A" w:rsidRDefault="002D1C8A">
      <w:pPr>
        <w:autoSpaceDE w:val="0"/>
        <w:autoSpaceDN w:val="0"/>
        <w:adjustRightInd w:val="0"/>
        <w:spacing w:line="520" w:lineRule="exact"/>
        <w:jc w:val="center"/>
        <w:rPr>
          <w:rFonts w:hAnsi="Times New Roman"/>
          <w:b/>
          <w:sz w:val="44"/>
          <w:szCs w:val="44"/>
        </w:rPr>
      </w:pPr>
      <w:r>
        <w:rPr>
          <w:rFonts w:hAnsi="Times New Roman"/>
          <w:b/>
          <w:sz w:val="44"/>
          <w:szCs w:val="44"/>
        </w:rPr>
        <w:lastRenderedPageBreak/>
        <w:t>目 录</w:t>
      </w:r>
    </w:p>
    <w:p w:rsidR="00B87C8A" w:rsidRDefault="00B87C8A">
      <w:pPr>
        <w:autoSpaceDE w:val="0"/>
        <w:autoSpaceDN w:val="0"/>
        <w:adjustRightInd w:val="0"/>
        <w:spacing w:line="520" w:lineRule="exact"/>
        <w:rPr>
          <w:rFonts w:ascii="黑体" w:eastAsia="黑体" w:hAnsi="Times New Roman" w:cs="黑体"/>
          <w:b/>
          <w:sz w:val="28"/>
          <w:szCs w:val="28"/>
        </w:rPr>
      </w:pP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 xml:space="preserve">第一部分 </w:t>
      </w:r>
      <w:r>
        <w:rPr>
          <w:rFonts w:ascii="黑体" w:eastAsia="黑体" w:hAnsi="Times New Roman" w:cs="黑体"/>
          <w:b/>
          <w:sz w:val="28"/>
          <w:szCs w:val="28"/>
          <w:lang w:val="zh-CN"/>
        </w:rPr>
        <w:t>吉首大学</w:t>
      </w:r>
      <w:r>
        <w:rPr>
          <w:rFonts w:ascii="黑体" w:eastAsia="黑体" w:hAnsi="Times New Roman" w:cs="黑体"/>
          <w:b/>
          <w:sz w:val="28"/>
          <w:szCs w:val="28"/>
        </w:rPr>
        <w:t>概况</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一、部门职责</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二、机构设置</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第二部分 吉首大学</w:t>
      </w:r>
      <w:r w:rsidR="007F7A26">
        <w:rPr>
          <w:rFonts w:ascii="黑体" w:eastAsia="黑体" w:hAnsi="Times New Roman" w:cs="黑体"/>
          <w:b/>
          <w:sz w:val="28"/>
          <w:szCs w:val="28"/>
        </w:rPr>
        <w:t>202</w:t>
      </w:r>
      <w:r w:rsidR="007F7A26">
        <w:rPr>
          <w:rFonts w:ascii="黑体" w:eastAsia="黑体" w:hAnsi="Times New Roman" w:cs="黑体" w:hint="eastAsia"/>
          <w:b/>
          <w:sz w:val="28"/>
          <w:szCs w:val="28"/>
        </w:rPr>
        <w:t>2</w:t>
      </w:r>
      <w:r>
        <w:rPr>
          <w:rFonts w:ascii="黑体" w:eastAsia="黑体" w:hAnsi="Times New Roman" w:cs="黑体"/>
          <w:b/>
          <w:sz w:val="28"/>
          <w:szCs w:val="28"/>
        </w:rPr>
        <w:t>年度部门决算表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一、收入支出决算总表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二、收入决算表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三、支出决算表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四、财政拨款收入支出决算总表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五、一般公共预算财政拨款支出决算表</w:t>
      </w:r>
    </w:p>
    <w:p w:rsidR="00B87C8A" w:rsidRDefault="002D1C8A" w:rsidP="009F2B1E">
      <w:pPr>
        <w:autoSpaceDE w:val="0"/>
        <w:autoSpaceDN w:val="0"/>
        <w:adjustRightInd w:val="0"/>
        <w:spacing w:line="520" w:lineRule="exact"/>
        <w:ind w:firstLine="700"/>
        <w:rPr>
          <w:rFonts w:ascii="Times New Roman" w:hAnsi="Times New Roman"/>
          <w:sz w:val="28"/>
          <w:szCs w:val="28"/>
        </w:rPr>
      </w:pPr>
      <w:r>
        <w:rPr>
          <w:rFonts w:hAnsi="Times New Roman"/>
          <w:sz w:val="28"/>
          <w:szCs w:val="28"/>
        </w:rPr>
        <w:t>六、一般公共预算财政拨款基本支出决算</w:t>
      </w:r>
      <w:r w:rsidR="00FC2C8C">
        <w:rPr>
          <w:rFonts w:hAnsi="Times New Roman" w:hint="eastAsia"/>
          <w:sz w:val="28"/>
          <w:szCs w:val="28"/>
        </w:rPr>
        <w:t>明细</w:t>
      </w:r>
      <w:r>
        <w:rPr>
          <w:rFonts w:hAnsi="Times New Roman"/>
          <w:sz w:val="28"/>
          <w:szCs w:val="28"/>
        </w:rPr>
        <w:t>表</w:t>
      </w:r>
    </w:p>
    <w:p w:rsidR="00B87C8A" w:rsidRDefault="009F2B1E">
      <w:pPr>
        <w:autoSpaceDE w:val="0"/>
        <w:autoSpaceDN w:val="0"/>
        <w:adjustRightInd w:val="0"/>
        <w:spacing w:line="520" w:lineRule="exact"/>
        <w:ind w:firstLine="700"/>
        <w:rPr>
          <w:rFonts w:hAnsi="Times New Roman"/>
          <w:sz w:val="28"/>
          <w:szCs w:val="28"/>
        </w:rPr>
      </w:pPr>
      <w:r>
        <w:rPr>
          <w:rFonts w:hAnsi="Times New Roman" w:hint="eastAsia"/>
          <w:sz w:val="28"/>
          <w:szCs w:val="28"/>
        </w:rPr>
        <w:t>七</w:t>
      </w:r>
      <w:r w:rsidR="002D1C8A">
        <w:rPr>
          <w:rFonts w:hAnsi="Times New Roman"/>
          <w:sz w:val="28"/>
          <w:szCs w:val="28"/>
        </w:rPr>
        <w:t>、政府性基金预算财政拨款收入支出决算表</w:t>
      </w:r>
    </w:p>
    <w:p w:rsidR="00B87C8A" w:rsidRDefault="009F2B1E">
      <w:pPr>
        <w:autoSpaceDE w:val="0"/>
        <w:autoSpaceDN w:val="0"/>
        <w:adjustRightInd w:val="0"/>
        <w:spacing w:line="520" w:lineRule="exact"/>
        <w:ind w:firstLine="700"/>
        <w:rPr>
          <w:rFonts w:hAnsi="Times New Roman"/>
          <w:sz w:val="28"/>
          <w:szCs w:val="28"/>
        </w:rPr>
      </w:pPr>
      <w:r>
        <w:rPr>
          <w:rFonts w:hAnsi="Times New Roman" w:hint="eastAsia"/>
          <w:sz w:val="28"/>
          <w:szCs w:val="28"/>
        </w:rPr>
        <w:t>八</w:t>
      </w:r>
      <w:r w:rsidR="002D1C8A">
        <w:rPr>
          <w:rFonts w:hAnsi="Times New Roman"/>
          <w:sz w:val="28"/>
          <w:szCs w:val="28"/>
        </w:rPr>
        <w:t>、国有资本经营预算财政拨款支出决算表</w:t>
      </w:r>
    </w:p>
    <w:p w:rsidR="009F2B1E" w:rsidRDefault="009F2B1E">
      <w:pPr>
        <w:autoSpaceDE w:val="0"/>
        <w:autoSpaceDN w:val="0"/>
        <w:adjustRightInd w:val="0"/>
        <w:spacing w:line="520" w:lineRule="exact"/>
        <w:ind w:firstLine="700"/>
        <w:rPr>
          <w:rFonts w:ascii="Times New Roman" w:hAnsi="Times New Roman"/>
          <w:sz w:val="28"/>
          <w:szCs w:val="28"/>
        </w:rPr>
      </w:pPr>
      <w:r>
        <w:rPr>
          <w:rFonts w:hAnsi="Times New Roman" w:hint="eastAsia"/>
          <w:sz w:val="28"/>
          <w:szCs w:val="28"/>
        </w:rPr>
        <w:t>九</w:t>
      </w:r>
      <w:r>
        <w:rPr>
          <w:rFonts w:hAnsi="Times New Roman"/>
          <w:sz w:val="28"/>
          <w:szCs w:val="28"/>
        </w:rPr>
        <w:t>、财政拨款</w:t>
      </w:r>
      <w:r>
        <w:rPr>
          <w:rFonts w:ascii="Times New Roman" w:hAnsi="Times New Roman"/>
          <w:sz w:val="28"/>
          <w:szCs w:val="28"/>
        </w:rPr>
        <w:t>“</w:t>
      </w:r>
      <w:r>
        <w:rPr>
          <w:rFonts w:hAnsi="Times New Roman"/>
          <w:sz w:val="28"/>
          <w:szCs w:val="28"/>
        </w:rPr>
        <w:t>三公</w:t>
      </w:r>
      <w:r>
        <w:rPr>
          <w:rFonts w:ascii="Times New Roman" w:hAnsi="Times New Roman"/>
          <w:sz w:val="28"/>
          <w:szCs w:val="28"/>
        </w:rPr>
        <w:t>”</w:t>
      </w:r>
      <w:r>
        <w:rPr>
          <w:rFonts w:hAnsi="Times New Roman"/>
          <w:sz w:val="28"/>
          <w:szCs w:val="28"/>
        </w:rPr>
        <w:t>经费支出决算表</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第三部分 吉首大学202</w:t>
      </w:r>
      <w:r w:rsidR="007F7A26">
        <w:rPr>
          <w:rFonts w:ascii="黑体" w:eastAsia="黑体" w:hAnsi="Times New Roman" w:cs="黑体" w:hint="eastAsia"/>
          <w:b/>
          <w:sz w:val="28"/>
          <w:szCs w:val="28"/>
        </w:rPr>
        <w:t>2</w:t>
      </w:r>
      <w:r>
        <w:rPr>
          <w:rFonts w:ascii="黑体" w:eastAsia="黑体" w:hAnsi="Times New Roman" w:cs="黑体"/>
          <w:b/>
          <w:sz w:val="28"/>
          <w:szCs w:val="28"/>
        </w:rPr>
        <w:t>年度部门决算情况说明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一、收入支出决算总体情况说明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二、收入决算情况说明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三、支出决算情况说明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四、财政拨款收入支出决算总体情况说明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五、一般公共预算财政拨款支出决算情况说明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六、一般公共预算财政拨款基本支出决算情况说明</w:t>
      </w:r>
    </w:p>
    <w:p w:rsidR="00B87C8A" w:rsidRPr="007F7A26" w:rsidRDefault="007F7A26">
      <w:pPr>
        <w:autoSpaceDE w:val="0"/>
        <w:autoSpaceDN w:val="0"/>
        <w:adjustRightInd w:val="0"/>
        <w:spacing w:line="500" w:lineRule="exact"/>
        <w:ind w:firstLine="700"/>
        <w:rPr>
          <w:rFonts w:hAnsi="Times New Roman"/>
          <w:color w:val="000000" w:themeColor="text1"/>
          <w:sz w:val="28"/>
          <w:szCs w:val="28"/>
        </w:rPr>
      </w:pPr>
      <w:r w:rsidRPr="007F7A26">
        <w:rPr>
          <w:rFonts w:hAnsi="Times New Roman" w:hint="eastAsia"/>
          <w:color w:val="000000" w:themeColor="text1"/>
          <w:sz w:val="28"/>
          <w:szCs w:val="28"/>
        </w:rPr>
        <w:t>七</w:t>
      </w:r>
      <w:r w:rsidR="002D1C8A" w:rsidRPr="007F7A26">
        <w:rPr>
          <w:rFonts w:hAnsi="Times New Roman"/>
          <w:color w:val="000000" w:themeColor="text1"/>
          <w:sz w:val="28"/>
          <w:szCs w:val="28"/>
        </w:rPr>
        <w:t>、政府性基金预算收入支出决算情况</w:t>
      </w:r>
    </w:p>
    <w:p w:rsidR="00B87C8A" w:rsidRPr="007F7A26" w:rsidRDefault="007F7A26">
      <w:pPr>
        <w:autoSpaceDE w:val="0"/>
        <w:autoSpaceDN w:val="0"/>
        <w:adjustRightInd w:val="0"/>
        <w:spacing w:line="500" w:lineRule="exact"/>
        <w:ind w:firstLine="700"/>
        <w:rPr>
          <w:rFonts w:hAnsi="Times New Roman"/>
          <w:color w:val="000000" w:themeColor="text1"/>
          <w:sz w:val="28"/>
          <w:szCs w:val="28"/>
        </w:rPr>
      </w:pPr>
      <w:r w:rsidRPr="007F7A26">
        <w:rPr>
          <w:rFonts w:hAnsi="Times New Roman" w:hint="eastAsia"/>
          <w:color w:val="000000" w:themeColor="text1"/>
          <w:sz w:val="28"/>
          <w:szCs w:val="28"/>
        </w:rPr>
        <w:t>八</w:t>
      </w:r>
      <w:r w:rsidR="002D1C8A" w:rsidRPr="007F7A26">
        <w:rPr>
          <w:rFonts w:hAnsi="Times New Roman"/>
          <w:color w:val="000000" w:themeColor="text1"/>
          <w:sz w:val="28"/>
          <w:szCs w:val="28"/>
        </w:rPr>
        <w:t>、国有资本经营预算财政拨款支出决算情况</w:t>
      </w:r>
    </w:p>
    <w:p w:rsidR="007F7A26" w:rsidRPr="001F69B0" w:rsidRDefault="007F7A26" w:rsidP="001F69B0">
      <w:pPr>
        <w:autoSpaceDE w:val="0"/>
        <w:autoSpaceDN w:val="0"/>
        <w:adjustRightInd w:val="0"/>
        <w:spacing w:line="520" w:lineRule="exact"/>
        <w:ind w:firstLine="700"/>
        <w:rPr>
          <w:rFonts w:hAnsi="Times New Roman"/>
          <w:color w:val="000000" w:themeColor="text1"/>
          <w:sz w:val="28"/>
          <w:szCs w:val="28"/>
        </w:rPr>
      </w:pPr>
      <w:r w:rsidRPr="007F7A26">
        <w:rPr>
          <w:rFonts w:hAnsi="Times New Roman" w:hint="eastAsia"/>
          <w:color w:val="000000" w:themeColor="text1"/>
          <w:sz w:val="28"/>
          <w:szCs w:val="28"/>
        </w:rPr>
        <w:t>九</w:t>
      </w:r>
      <w:r w:rsidRPr="007F7A26">
        <w:rPr>
          <w:rFonts w:hAnsi="Times New Roman"/>
          <w:color w:val="000000" w:themeColor="text1"/>
          <w:sz w:val="28"/>
          <w:szCs w:val="28"/>
        </w:rPr>
        <w:t>、财政拨款三</w:t>
      </w:r>
      <w:proofErr w:type="gramStart"/>
      <w:r w:rsidRPr="007F7A26">
        <w:rPr>
          <w:rFonts w:hAnsi="Times New Roman"/>
          <w:color w:val="000000" w:themeColor="text1"/>
          <w:sz w:val="28"/>
          <w:szCs w:val="28"/>
        </w:rPr>
        <w:t>公经费</w:t>
      </w:r>
      <w:proofErr w:type="gramEnd"/>
      <w:r w:rsidRPr="007F7A26">
        <w:rPr>
          <w:rFonts w:hAnsi="Times New Roman"/>
          <w:color w:val="000000" w:themeColor="text1"/>
          <w:sz w:val="28"/>
          <w:szCs w:val="28"/>
        </w:rPr>
        <w:t>支出决算情况说明</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lastRenderedPageBreak/>
        <w:t>十、关于机关运行经费支出说明</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十一、一般性支出情况</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十二、关于政府采购支出说明</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十三、关于国有资产占用情况说明</w:t>
      </w:r>
    </w:p>
    <w:p w:rsidR="00B87C8A" w:rsidRDefault="002D1C8A">
      <w:pPr>
        <w:autoSpaceDE w:val="0"/>
        <w:autoSpaceDN w:val="0"/>
        <w:adjustRightInd w:val="0"/>
        <w:spacing w:line="500" w:lineRule="exact"/>
        <w:ind w:firstLine="700"/>
        <w:rPr>
          <w:rFonts w:hAnsi="Times New Roman"/>
          <w:sz w:val="28"/>
          <w:szCs w:val="28"/>
        </w:rPr>
      </w:pPr>
      <w:r>
        <w:rPr>
          <w:rFonts w:hAnsi="Times New Roman"/>
          <w:sz w:val="28"/>
          <w:szCs w:val="28"/>
        </w:rPr>
        <w:t>十四、关于</w:t>
      </w:r>
      <w:r w:rsidR="009F2B1E">
        <w:rPr>
          <w:rFonts w:hAnsi="Times New Roman"/>
          <w:sz w:val="28"/>
          <w:szCs w:val="28"/>
        </w:rPr>
        <w:t>202</w:t>
      </w:r>
      <w:r w:rsidR="009F2B1E">
        <w:rPr>
          <w:rFonts w:hAnsi="Times New Roman" w:hint="eastAsia"/>
          <w:sz w:val="28"/>
          <w:szCs w:val="28"/>
        </w:rPr>
        <w:t>2</w:t>
      </w:r>
      <w:r>
        <w:rPr>
          <w:rFonts w:hAnsi="Times New Roman"/>
          <w:sz w:val="28"/>
          <w:szCs w:val="28"/>
        </w:rPr>
        <w:t>年度预算绩效情况的说明</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第四部分 名词解释</w:t>
      </w:r>
    </w:p>
    <w:p w:rsidR="00B87C8A" w:rsidRDefault="002D1C8A">
      <w:pPr>
        <w:autoSpaceDE w:val="0"/>
        <w:autoSpaceDN w:val="0"/>
        <w:adjustRightInd w:val="0"/>
        <w:spacing w:line="520" w:lineRule="exact"/>
        <w:rPr>
          <w:rFonts w:ascii="Times New Roman" w:eastAsia="黑体" w:hAnsi="Times New Roman"/>
          <w:sz w:val="44"/>
          <w:szCs w:val="44"/>
          <w:lang w:val="zh-CN"/>
        </w:rPr>
      </w:pPr>
      <w:r>
        <w:rPr>
          <w:rFonts w:ascii="黑体" w:eastAsia="黑体" w:hAnsi="Times New Roman" w:cs="黑体"/>
          <w:b/>
          <w:sz w:val="28"/>
          <w:szCs w:val="28"/>
        </w:rPr>
        <w:t>第五部分 附件</w:t>
      </w:r>
    </w:p>
    <w:p w:rsidR="00B87C8A" w:rsidRDefault="00B87C8A">
      <w:pPr>
        <w:autoSpaceDE w:val="0"/>
        <w:autoSpaceDN w:val="0"/>
        <w:adjustRightInd w:val="0"/>
        <w:spacing w:line="520" w:lineRule="exact"/>
        <w:rPr>
          <w:rFonts w:ascii="黑体" w:eastAsia="黑体" w:hAnsi="Times New Roman" w:cs="黑体"/>
          <w:sz w:val="32"/>
          <w:szCs w:val="32"/>
        </w:rPr>
        <w:sectPr w:rsidR="00B87C8A" w:rsidSect="00612DDE">
          <w:pgSz w:w="12240" w:h="15840"/>
          <w:pgMar w:top="1440" w:right="1800" w:bottom="1440" w:left="1800" w:header="720" w:footer="720" w:gutter="0"/>
          <w:cols w:space="720"/>
          <w:docGrid w:linePitch="326"/>
        </w:sectPr>
      </w:pPr>
    </w:p>
    <w:p w:rsidR="00B87C8A" w:rsidRDefault="00B87C8A">
      <w:pPr>
        <w:autoSpaceDE w:val="0"/>
        <w:autoSpaceDN w:val="0"/>
        <w:adjustRightInd w:val="0"/>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84"/>
          <w:szCs w:val="84"/>
        </w:rPr>
      </w:pPr>
    </w:p>
    <w:p w:rsidR="00B87C8A" w:rsidRDefault="00B87C8A">
      <w:pPr>
        <w:autoSpaceDE w:val="0"/>
        <w:autoSpaceDN w:val="0"/>
        <w:adjustRightInd w:val="0"/>
        <w:jc w:val="center"/>
        <w:rPr>
          <w:rFonts w:ascii="黑体" w:eastAsia="黑体" w:hAnsi="Times New Roman" w:cs="黑体"/>
          <w:sz w:val="56"/>
          <w:szCs w:val="56"/>
        </w:rPr>
      </w:pPr>
    </w:p>
    <w:p w:rsidR="00B87C8A" w:rsidRDefault="002D1C8A">
      <w:pPr>
        <w:autoSpaceDE w:val="0"/>
        <w:autoSpaceDN w:val="0"/>
        <w:adjustRightInd w:val="0"/>
        <w:jc w:val="center"/>
        <w:rPr>
          <w:rFonts w:ascii="Times New Roman" w:eastAsia="黑体" w:hAnsi="Times New Roman"/>
          <w:sz w:val="84"/>
          <w:szCs w:val="84"/>
          <w:lang w:val="zh-CN"/>
        </w:rPr>
      </w:pPr>
      <w:r>
        <w:rPr>
          <w:rFonts w:ascii="黑体" w:eastAsia="黑体" w:hAnsi="Times New Roman" w:cs="黑体"/>
          <w:sz w:val="84"/>
          <w:szCs w:val="84"/>
        </w:rPr>
        <w:t>第一部分</w:t>
      </w:r>
    </w:p>
    <w:p w:rsidR="00B87C8A" w:rsidRDefault="002D1C8A" w:rsidP="00BA356D">
      <w:pPr>
        <w:autoSpaceDE w:val="0"/>
        <w:autoSpaceDN w:val="0"/>
        <w:adjustRightInd w:val="0"/>
        <w:spacing w:beforeLines="100" w:before="240"/>
        <w:jc w:val="center"/>
        <w:rPr>
          <w:rFonts w:ascii="Times New Roman" w:eastAsia="黑体" w:hAnsi="Times New Roman"/>
          <w:sz w:val="96"/>
          <w:szCs w:val="96"/>
          <w:lang w:val="zh-CN"/>
        </w:rPr>
      </w:pPr>
      <w:r>
        <w:rPr>
          <w:rFonts w:ascii="黑体" w:eastAsia="黑体" w:hAnsi="Times New Roman" w:cs="黑体"/>
          <w:sz w:val="84"/>
          <w:szCs w:val="84"/>
          <w:lang w:val="zh-CN"/>
        </w:rPr>
        <w:t>吉首大学</w:t>
      </w:r>
      <w:r>
        <w:rPr>
          <w:rFonts w:ascii="黑体" w:eastAsia="黑体" w:hAnsi="Times New Roman" w:cs="黑体"/>
          <w:sz w:val="84"/>
          <w:szCs w:val="84"/>
        </w:rPr>
        <w:t>概况</w:t>
      </w:r>
    </w:p>
    <w:p w:rsidR="00B87C8A" w:rsidRDefault="00B87C8A">
      <w:pPr>
        <w:autoSpaceDE w:val="0"/>
        <w:autoSpaceDN w:val="0"/>
        <w:adjustRightInd w:val="0"/>
        <w:jc w:val="center"/>
        <w:rPr>
          <w:rFonts w:hAnsi="Times New Roman"/>
          <w:sz w:val="96"/>
          <w:szCs w:val="96"/>
        </w:rPr>
        <w:sectPr w:rsidR="00B87C8A" w:rsidSect="00612DDE">
          <w:pgSz w:w="12240" w:h="15840"/>
          <w:pgMar w:top="1440" w:right="1800" w:bottom="1440" w:left="1800" w:header="720" w:footer="720" w:gutter="0"/>
          <w:cols w:space="720"/>
          <w:docGrid w:linePitch="326"/>
        </w:sectPr>
      </w:pPr>
    </w:p>
    <w:p w:rsidR="00B87C8A" w:rsidRDefault="002D1C8A">
      <w:pPr>
        <w:autoSpaceDE w:val="0"/>
        <w:autoSpaceDN w:val="0"/>
        <w:adjustRightInd w:val="0"/>
        <w:spacing w:line="360" w:lineRule="auto"/>
        <w:ind w:firstLineChars="200" w:firstLine="640"/>
        <w:rPr>
          <w:rFonts w:ascii="黑体" w:eastAsia="黑体" w:hAnsi="黑体" w:cs="黑体"/>
          <w:sz w:val="32"/>
          <w:szCs w:val="32"/>
          <w:lang w:val="zh-CN"/>
        </w:rPr>
      </w:pPr>
      <w:r>
        <w:rPr>
          <w:rFonts w:ascii="黑体" w:eastAsia="黑体" w:hAnsi="黑体" w:cs="黑体"/>
          <w:sz w:val="32"/>
          <w:szCs w:val="32"/>
        </w:rPr>
        <w:lastRenderedPageBreak/>
        <w:t>一、</w:t>
      </w:r>
      <w:r>
        <w:rPr>
          <w:rFonts w:ascii="黑体" w:eastAsia="黑体" w:hAnsi="黑体" w:cs="黑体"/>
          <w:sz w:val="32"/>
          <w:szCs w:val="32"/>
          <w:lang w:val="zh-CN"/>
        </w:rPr>
        <w:t>部门职责</w:t>
      </w:r>
    </w:p>
    <w:p w:rsidR="0074118E" w:rsidRDefault="0074118E" w:rsidP="008741C5">
      <w:pPr>
        <w:spacing w:line="360" w:lineRule="auto"/>
        <w:ind w:firstLineChars="200" w:firstLine="560"/>
        <w:rPr>
          <w:sz w:val="28"/>
          <w:szCs w:val="28"/>
        </w:rPr>
      </w:pPr>
      <w:r w:rsidRPr="0074118E">
        <w:rPr>
          <w:rFonts w:hint="eastAsia"/>
          <w:sz w:val="28"/>
          <w:szCs w:val="28"/>
        </w:rPr>
        <w:t>吉首大学创办于</w:t>
      </w:r>
      <w:r w:rsidRPr="0074118E">
        <w:rPr>
          <w:sz w:val="28"/>
          <w:szCs w:val="28"/>
        </w:rPr>
        <w:t>1958年，在湖南省湘西土家族苗族自治州和张家界市两地办学，是湖南省属综合性大学，也是武陵山片区唯一的综合性大学。学校先后成为国家民委与湖南省政府共建高校、一本批次录取高校、博士学位授权单位、湖南省高水平建设大学、湖南省“双一流”建设高校、推荐优秀应届本科毕业生免试攻读硕士学位研究生普通高校。</w:t>
      </w:r>
      <w:r w:rsidRPr="0074118E">
        <w:rPr>
          <w:rFonts w:hint="eastAsia"/>
          <w:sz w:val="28"/>
          <w:szCs w:val="28"/>
        </w:rPr>
        <w:t>面向未来，吉首大学将继续</w:t>
      </w:r>
      <w:r w:rsidR="008741C5" w:rsidRPr="00BA356D">
        <w:rPr>
          <w:rFonts w:hint="eastAsia"/>
          <w:color w:val="000000" w:themeColor="text1"/>
          <w:sz w:val="28"/>
          <w:szCs w:val="28"/>
        </w:rPr>
        <w:t>坚持“立足湘西、面向湖南、辐射全国、服务基层”的办学定位</w:t>
      </w:r>
      <w:r w:rsidR="008741C5">
        <w:rPr>
          <w:rFonts w:hint="eastAsia"/>
          <w:sz w:val="28"/>
          <w:szCs w:val="28"/>
        </w:rPr>
        <w:t>，</w:t>
      </w:r>
      <w:r w:rsidRPr="008741C5">
        <w:rPr>
          <w:rFonts w:hint="eastAsia"/>
          <w:sz w:val="28"/>
          <w:szCs w:val="28"/>
        </w:rPr>
        <w:t>创新知识和科学技术，培养具有人文精神、科学素养、创新能力和务实作风的复合型应用性人才，全面建设特色鲜明、优势突出的教学研究型综合大学。</w:t>
      </w:r>
    </w:p>
    <w:p w:rsidR="00B87C8A" w:rsidRDefault="002D1C8A">
      <w:pPr>
        <w:spacing w:line="360" w:lineRule="auto"/>
        <w:ind w:firstLineChars="200" w:firstLine="562"/>
        <w:rPr>
          <w:b/>
          <w:sz w:val="28"/>
          <w:szCs w:val="28"/>
        </w:rPr>
      </w:pPr>
      <w:r>
        <w:rPr>
          <w:b/>
          <w:sz w:val="28"/>
          <w:szCs w:val="28"/>
        </w:rPr>
        <w:t>（一）人才培养</w:t>
      </w:r>
    </w:p>
    <w:p w:rsidR="00B87C8A" w:rsidRDefault="002D1C8A" w:rsidP="00AD21AA">
      <w:pPr>
        <w:spacing w:line="360" w:lineRule="auto"/>
        <w:ind w:firstLineChars="200" w:firstLine="560"/>
        <w:rPr>
          <w:sz w:val="28"/>
          <w:szCs w:val="28"/>
        </w:rPr>
      </w:pPr>
      <w:r>
        <w:rPr>
          <w:sz w:val="28"/>
          <w:szCs w:val="28"/>
        </w:rPr>
        <w:t>学校根据国家政策、社会需要和自身办学条件，自主合理确定办学规模，调整办学结构</w:t>
      </w:r>
      <w:r w:rsidR="00AD21AA">
        <w:rPr>
          <w:sz w:val="28"/>
          <w:szCs w:val="28"/>
        </w:rPr>
        <w:t>，科学设置和调整学科、专业。依法招收学生，对学生实施教育和管理</w:t>
      </w:r>
      <w:r w:rsidR="00AD21AA">
        <w:rPr>
          <w:rFonts w:hint="eastAsia"/>
          <w:sz w:val="28"/>
          <w:szCs w:val="28"/>
        </w:rPr>
        <w:t>。</w:t>
      </w:r>
      <w:r w:rsidR="00AD21AA">
        <w:rPr>
          <w:sz w:val="28"/>
          <w:szCs w:val="28"/>
        </w:rPr>
        <w:t>学校主要教育形式为全日制学历教育</w:t>
      </w:r>
      <w:r w:rsidR="00AD21AA">
        <w:rPr>
          <w:rFonts w:hint="eastAsia"/>
          <w:sz w:val="28"/>
          <w:szCs w:val="28"/>
        </w:rPr>
        <w:t>，</w:t>
      </w:r>
      <w:r w:rsidR="00AD21AA" w:rsidRPr="00AD21AA">
        <w:rPr>
          <w:sz w:val="28"/>
          <w:szCs w:val="28"/>
        </w:rPr>
        <w:t>学历教育以本科生教育为主，积极开展研究生教育和留学生教育。</w:t>
      </w:r>
      <w:r w:rsidR="00AD21AA">
        <w:rPr>
          <w:rFonts w:hint="eastAsia"/>
          <w:sz w:val="28"/>
          <w:szCs w:val="28"/>
        </w:rPr>
        <w:t>学校</w:t>
      </w:r>
      <w:r>
        <w:rPr>
          <w:sz w:val="28"/>
          <w:szCs w:val="28"/>
        </w:rPr>
        <w:t>根据办学定位及社会需要等，自主确立人才培养目标和要求，组织实施教育</w:t>
      </w:r>
      <w:r w:rsidR="00AD21AA">
        <w:rPr>
          <w:sz w:val="28"/>
          <w:szCs w:val="28"/>
        </w:rPr>
        <w:t>教学活动。学校依法向符合条件的毕业生颁发相应学业证书和学位证书</w:t>
      </w:r>
      <w:r w:rsidR="00AD21AA">
        <w:rPr>
          <w:rFonts w:hint="eastAsia"/>
          <w:sz w:val="28"/>
          <w:szCs w:val="28"/>
        </w:rPr>
        <w:t>，</w:t>
      </w:r>
      <w:r>
        <w:rPr>
          <w:sz w:val="28"/>
          <w:szCs w:val="28"/>
        </w:rPr>
        <w:t>执行国家学位制度，依法授予学士、硕士、博士学位。并可向为社会发展和人类文明进步做出突出贡献的杰出人士授予名誉博士学位或其他荣誉称号。</w:t>
      </w:r>
    </w:p>
    <w:p w:rsidR="00B87C8A" w:rsidRDefault="002D1C8A">
      <w:pPr>
        <w:pStyle w:val="a6"/>
        <w:spacing w:line="360" w:lineRule="auto"/>
        <w:ind w:firstLineChars="0" w:firstLine="562"/>
        <w:rPr>
          <w:b/>
          <w:sz w:val="28"/>
          <w:szCs w:val="28"/>
        </w:rPr>
      </w:pPr>
      <w:r>
        <w:rPr>
          <w:b/>
          <w:sz w:val="28"/>
          <w:szCs w:val="28"/>
        </w:rPr>
        <w:t>（二）科学研究</w:t>
      </w:r>
    </w:p>
    <w:p w:rsidR="00B87C8A" w:rsidRDefault="002D1C8A">
      <w:pPr>
        <w:spacing w:line="360" w:lineRule="auto"/>
        <w:ind w:firstLineChars="200" w:firstLine="560"/>
        <w:rPr>
          <w:sz w:val="28"/>
          <w:szCs w:val="28"/>
        </w:rPr>
      </w:pPr>
      <w:r>
        <w:rPr>
          <w:sz w:val="28"/>
          <w:szCs w:val="28"/>
        </w:rPr>
        <w:t>学校面向学术前沿和社会需求，积极开展科学研究，促进知识创新和技术创新，致力于解决经济社会发展中的理论与实践问题。支持并组</w:t>
      </w:r>
      <w:r>
        <w:rPr>
          <w:sz w:val="28"/>
          <w:szCs w:val="28"/>
        </w:rPr>
        <w:lastRenderedPageBreak/>
        <w:t>织教师、研究人员和学生开展各类科学研究，鼓励自由探索和科研创新，形成自身科研特色与优势，促进良好学术生态与优良学术传统的形成。学校推动科学研究与人才培养、社会服务、文化传承创新工作紧密结合，提高人才培养质量，增强服务社会能力，整体提升办学实力。学校尊重和保障教师、研究人员和学生在教学、研究和学习方面依法享有的学术自由，营造宽松而积极向上的学术环境，建立健全学术评价机制，倡导学术平等，严格学术管理。学校加强学术道德宣传与学术诚信教育，反对和惩处学术不端行为。</w:t>
      </w:r>
    </w:p>
    <w:p w:rsidR="00B87C8A" w:rsidRDefault="002D1C8A">
      <w:pPr>
        <w:pStyle w:val="a6"/>
        <w:spacing w:line="360" w:lineRule="auto"/>
        <w:ind w:firstLineChars="0" w:firstLine="562"/>
        <w:rPr>
          <w:b/>
          <w:sz w:val="28"/>
          <w:szCs w:val="28"/>
        </w:rPr>
      </w:pPr>
      <w:r>
        <w:rPr>
          <w:b/>
          <w:sz w:val="28"/>
          <w:szCs w:val="28"/>
        </w:rPr>
        <w:t>（三）社会服务</w:t>
      </w:r>
    </w:p>
    <w:p w:rsidR="00B87C8A" w:rsidRDefault="002D1C8A">
      <w:pPr>
        <w:pStyle w:val="a6"/>
        <w:spacing w:line="360" w:lineRule="auto"/>
        <w:ind w:firstLine="560"/>
        <w:rPr>
          <w:sz w:val="28"/>
          <w:szCs w:val="28"/>
        </w:rPr>
      </w:pPr>
      <w:r>
        <w:rPr>
          <w:sz w:val="28"/>
          <w:szCs w:val="28"/>
        </w:rPr>
        <w:t>学校以人才培养和科学研究成果服务社会，积极为地方和国家经济社会发展提供人才与智力支持。学校树立主动服务社会意识，构建开放包容、合作共享的社会服务机制，构筑社会服务平台，提高对地方和国家经济社会发展的贡献度。学校利用人才优势充分发挥智囊团、思想库作用，为地方和国家经济社会发展提供决策咨询服务。学校建立健全档案、资料、信息、设施、设备等资源开放机制，面向社会提供资源共享服务。学校鼓励师生员工开展社区服务和志愿服务。</w:t>
      </w:r>
    </w:p>
    <w:p w:rsidR="00B87C8A" w:rsidRDefault="002D1C8A">
      <w:pPr>
        <w:pStyle w:val="a6"/>
        <w:spacing w:line="360" w:lineRule="auto"/>
        <w:ind w:firstLineChars="0" w:firstLine="562"/>
        <w:rPr>
          <w:b/>
          <w:sz w:val="28"/>
          <w:szCs w:val="28"/>
        </w:rPr>
      </w:pPr>
      <w:r>
        <w:rPr>
          <w:b/>
          <w:sz w:val="28"/>
          <w:szCs w:val="28"/>
        </w:rPr>
        <w:t>（四）文化传承与创新</w:t>
      </w:r>
    </w:p>
    <w:p w:rsidR="00B87C8A" w:rsidRDefault="002D1C8A">
      <w:pPr>
        <w:pStyle w:val="a6"/>
        <w:spacing w:line="360" w:lineRule="auto"/>
        <w:ind w:firstLine="560"/>
        <w:rPr>
          <w:sz w:val="28"/>
          <w:szCs w:val="28"/>
        </w:rPr>
      </w:pPr>
      <w:r>
        <w:rPr>
          <w:sz w:val="28"/>
          <w:szCs w:val="28"/>
        </w:rPr>
        <w:t>学校致力于优秀传统文化的传承与创新，促进民族优秀文化与世界先进文明交流</w:t>
      </w:r>
      <w:proofErr w:type="gramStart"/>
      <w:r>
        <w:rPr>
          <w:sz w:val="28"/>
          <w:szCs w:val="28"/>
        </w:rPr>
        <w:t>融汇</w:t>
      </w:r>
      <w:proofErr w:type="gramEnd"/>
      <w:r>
        <w:rPr>
          <w:sz w:val="28"/>
          <w:szCs w:val="28"/>
        </w:rPr>
        <w:t>，并致力于地方民族优秀传统文化的发掘、整理、研究和传播，丰富中华民族文化宝库，发挥学校文化研究、示范与辐射功能，引领区域文化发展，促进各民族间文化交流与文化繁荣。学校坚持立德树人，以文化人，推进大学文化和大学精神建设，构建良好文化氛围，增强办学活力。</w:t>
      </w:r>
    </w:p>
    <w:p w:rsidR="00B87C8A" w:rsidRDefault="002D1C8A">
      <w:pPr>
        <w:pStyle w:val="a6"/>
        <w:spacing w:line="360" w:lineRule="auto"/>
        <w:ind w:firstLine="640"/>
        <w:rPr>
          <w:rFonts w:ascii="黑体" w:eastAsia="黑体" w:hAnsi="黑体" w:cs="黑体"/>
          <w:sz w:val="32"/>
          <w:szCs w:val="32"/>
        </w:rPr>
      </w:pPr>
      <w:r>
        <w:rPr>
          <w:rFonts w:ascii="黑体" w:eastAsia="黑体" w:hAnsi="黑体" w:cs="黑体"/>
          <w:sz w:val="32"/>
          <w:szCs w:val="32"/>
        </w:rPr>
        <w:t>二、机构设置</w:t>
      </w:r>
      <w:r>
        <w:rPr>
          <w:rFonts w:ascii="黑体" w:eastAsia="黑体" w:hAnsi="黑体" w:cs="黑体"/>
          <w:sz w:val="32"/>
          <w:szCs w:val="32"/>
          <w:lang w:val="zh-CN"/>
        </w:rPr>
        <w:t>及</w:t>
      </w:r>
      <w:r>
        <w:rPr>
          <w:rFonts w:ascii="黑体" w:eastAsia="黑体" w:hAnsi="黑体" w:cs="黑体"/>
          <w:sz w:val="32"/>
          <w:szCs w:val="32"/>
        </w:rPr>
        <w:t>决算单位构成</w:t>
      </w:r>
    </w:p>
    <w:p w:rsidR="00B63611" w:rsidRDefault="002D1C8A" w:rsidP="00ED4410">
      <w:pPr>
        <w:spacing w:line="360" w:lineRule="auto"/>
        <w:ind w:firstLineChars="200" w:firstLine="562"/>
        <w:rPr>
          <w:b/>
          <w:sz w:val="28"/>
          <w:szCs w:val="28"/>
        </w:rPr>
      </w:pPr>
      <w:r>
        <w:rPr>
          <w:b/>
          <w:sz w:val="28"/>
          <w:szCs w:val="28"/>
        </w:rPr>
        <w:lastRenderedPageBreak/>
        <w:t>（一）内设机构设置。</w:t>
      </w:r>
    </w:p>
    <w:p w:rsidR="00ED4410" w:rsidRDefault="00ED4410" w:rsidP="00B63611">
      <w:pPr>
        <w:spacing w:line="360" w:lineRule="auto"/>
        <w:ind w:firstLineChars="200" w:firstLine="560"/>
        <w:rPr>
          <w:sz w:val="28"/>
          <w:szCs w:val="28"/>
        </w:rPr>
      </w:pPr>
      <w:r w:rsidRPr="00ED4410">
        <w:rPr>
          <w:sz w:val="28"/>
          <w:szCs w:val="28"/>
        </w:rPr>
        <w:t>1、党政管理机构：党政办公室（简称党政办），党委组</w:t>
      </w:r>
      <w:r w:rsidR="00DC7B32">
        <w:rPr>
          <w:rFonts w:hint="eastAsia"/>
          <w:sz w:val="28"/>
          <w:szCs w:val="28"/>
        </w:rPr>
        <w:t>织部、党校（简称组织部），党委宣传部（简称</w:t>
      </w:r>
      <w:r w:rsidRPr="00ED4410">
        <w:rPr>
          <w:rFonts w:hint="eastAsia"/>
          <w:sz w:val="28"/>
          <w:szCs w:val="28"/>
        </w:rPr>
        <w:t>宣传部），党委统战部（简称统战部），党委学生工作部、团委、武装部（简称学工部、团委），党委保卫工作部（简称保卫部），发展规划与学科建设处（简称规划处），教务处（创新创业学院、教学质量监控与评估中心）（简称教务处），科研管理处（简称科研处），人事处（教师工作部）（简称人事处），研究生院，财务处，资产与实验室管理处（简称资产处），审计处，后勤管理处（简称后勤处），招生就业处（简称招就处），基建处，离退休工作处、工会（简称离退处、工会），采购与招投标办公室（简称招标办），张家界校区办公室（简称校区办）。</w:t>
      </w:r>
    </w:p>
    <w:p w:rsidR="00ED4410" w:rsidRDefault="00ED4410" w:rsidP="00ED4410">
      <w:pPr>
        <w:spacing w:line="360" w:lineRule="auto"/>
        <w:ind w:firstLineChars="200" w:firstLine="560"/>
        <w:rPr>
          <w:sz w:val="28"/>
          <w:szCs w:val="28"/>
        </w:rPr>
      </w:pPr>
      <w:r w:rsidRPr="00ED4410">
        <w:rPr>
          <w:sz w:val="28"/>
          <w:szCs w:val="28"/>
        </w:rPr>
        <w:t>2、纪检监察机构：纪委、监察专员办公室（简称纪监</w:t>
      </w:r>
      <w:r w:rsidRPr="00ED4410">
        <w:rPr>
          <w:rFonts w:hint="eastAsia"/>
          <w:sz w:val="28"/>
          <w:szCs w:val="28"/>
        </w:rPr>
        <w:t>办）。</w:t>
      </w:r>
    </w:p>
    <w:p w:rsidR="00ED4410" w:rsidRDefault="00ED4410" w:rsidP="00ED4410">
      <w:pPr>
        <w:spacing w:line="360" w:lineRule="auto"/>
        <w:ind w:firstLineChars="200" w:firstLine="560"/>
        <w:rPr>
          <w:sz w:val="28"/>
          <w:szCs w:val="28"/>
        </w:rPr>
      </w:pPr>
      <w:r w:rsidRPr="00ED4410">
        <w:rPr>
          <w:sz w:val="28"/>
          <w:szCs w:val="28"/>
        </w:rPr>
        <w:t>3、教辅机构：图书馆、信息化中心、学报编辑部（简</w:t>
      </w:r>
      <w:r w:rsidRPr="00ED4410">
        <w:rPr>
          <w:rFonts w:hint="eastAsia"/>
          <w:sz w:val="28"/>
          <w:szCs w:val="28"/>
        </w:rPr>
        <w:t>称学报）、校友工作办公室（简称校友办）、张家界校区后勤与安全事务中心（简称后勤安全中心）、张家界校区教学科研与学生事务中心（简称教科研学中心）。</w:t>
      </w:r>
    </w:p>
    <w:p w:rsidR="00ED4410" w:rsidRDefault="00ED4410" w:rsidP="00ED4410">
      <w:pPr>
        <w:spacing w:line="360" w:lineRule="auto"/>
        <w:ind w:firstLineChars="200" w:firstLine="560"/>
        <w:rPr>
          <w:sz w:val="28"/>
          <w:szCs w:val="28"/>
        </w:rPr>
      </w:pPr>
      <w:r w:rsidRPr="00ED4410">
        <w:rPr>
          <w:sz w:val="28"/>
          <w:szCs w:val="28"/>
        </w:rPr>
        <w:t>4、科研机构：杜仲综合利用技术国家地方联合工程实</w:t>
      </w:r>
      <w:r w:rsidRPr="00ED4410">
        <w:rPr>
          <w:rFonts w:hint="eastAsia"/>
          <w:sz w:val="28"/>
          <w:szCs w:val="28"/>
        </w:rPr>
        <w:t>验室（简称杜仲实验室）。</w:t>
      </w:r>
    </w:p>
    <w:p w:rsidR="00B63611" w:rsidRDefault="00ED4410" w:rsidP="00ED4410">
      <w:pPr>
        <w:spacing w:line="360" w:lineRule="auto"/>
        <w:ind w:firstLineChars="200" w:firstLine="560"/>
        <w:rPr>
          <w:sz w:val="28"/>
          <w:szCs w:val="28"/>
        </w:rPr>
      </w:pPr>
      <w:r w:rsidRPr="00ED4410">
        <w:rPr>
          <w:sz w:val="28"/>
          <w:szCs w:val="28"/>
        </w:rPr>
        <w:t>5、学院系部：文学与新闻传播学院（简称文传学院）、</w:t>
      </w:r>
      <w:r w:rsidRPr="00ED4410">
        <w:rPr>
          <w:rFonts w:hint="eastAsia"/>
          <w:sz w:val="28"/>
          <w:szCs w:val="28"/>
        </w:rPr>
        <w:t>人文学院、外国语学院、马克思主义学院（简称马院）、商学院、体育科学学院（简称体育学院）、数学与统计学院（简称数统学院）、物理与机电工程学院（简称</w:t>
      </w:r>
      <w:proofErr w:type="gramStart"/>
      <w:r w:rsidRPr="00ED4410">
        <w:rPr>
          <w:rFonts w:hint="eastAsia"/>
          <w:sz w:val="28"/>
          <w:szCs w:val="28"/>
        </w:rPr>
        <w:t>物电学院</w:t>
      </w:r>
      <w:proofErr w:type="gramEnd"/>
      <w:r w:rsidRPr="00ED4410">
        <w:rPr>
          <w:rFonts w:hint="eastAsia"/>
          <w:sz w:val="28"/>
          <w:szCs w:val="28"/>
        </w:rPr>
        <w:t>）、通信与电子工程学院（简称通信学院）、计算机科学与工程学院（简称计算机学院）、化学化工学院（简称化工学院）、生物资源与环境科学学院（简称资环学院）、土木工程与建筑学院（简</w:t>
      </w:r>
      <w:r w:rsidRPr="00ED4410">
        <w:rPr>
          <w:rFonts w:hint="eastAsia"/>
          <w:sz w:val="28"/>
          <w:szCs w:val="28"/>
        </w:rPr>
        <w:lastRenderedPageBreak/>
        <w:t>称土木学院）、旅游学院、医学院、药学院、法学与公共管理学院（简称法管学院）、音乐舞蹈学院（简称音舞学院）、美术学院、民族预科教育学院（简称预科学院）、教师教育学院（简称教育学院）、继续教育学院。</w:t>
      </w:r>
    </w:p>
    <w:p w:rsidR="00B87C8A" w:rsidRPr="00B63611" w:rsidRDefault="002D1C8A" w:rsidP="00B63611">
      <w:pPr>
        <w:spacing w:line="360" w:lineRule="auto"/>
        <w:ind w:firstLineChars="200" w:firstLine="562"/>
        <w:rPr>
          <w:b/>
          <w:sz w:val="28"/>
          <w:szCs w:val="28"/>
        </w:rPr>
      </w:pPr>
      <w:r>
        <w:rPr>
          <w:b/>
          <w:sz w:val="28"/>
          <w:szCs w:val="28"/>
        </w:rPr>
        <w:t>（二）决算单位构成。</w:t>
      </w:r>
      <w:r>
        <w:rPr>
          <w:sz w:val="28"/>
          <w:szCs w:val="28"/>
        </w:rPr>
        <w:t>吉首大学部门决算报表公开单位构成包括： 吉首大学校本部，不含吉首大学师范学院和吉首大学张家界学院。</w:t>
      </w:r>
    </w:p>
    <w:p w:rsidR="00B63611" w:rsidRDefault="00B63611" w:rsidP="00B63611">
      <w:pPr>
        <w:autoSpaceDE w:val="0"/>
        <w:autoSpaceDN w:val="0"/>
        <w:adjustRightInd w:val="0"/>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96"/>
          <w:szCs w:val="96"/>
        </w:rPr>
      </w:pPr>
    </w:p>
    <w:p w:rsidR="00B87C8A" w:rsidRDefault="00B87C8A" w:rsidP="00BA356D">
      <w:pPr>
        <w:autoSpaceDE w:val="0"/>
        <w:autoSpaceDN w:val="0"/>
        <w:adjustRightInd w:val="0"/>
        <w:spacing w:afterLines="50" w:after="120"/>
        <w:jc w:val="center"/>
        <w:rPr>
          <w:rFonts w:ascii="黑体" w:eastAsia="黑体" w:hAnsi="Times New Roman" w:cs="黑体"/>
          <w:sz w:val="48"/>
          <w:szCs w:val="48"/>
        </w:rPr>
      </w:pPr>
    </w:p>
    <w:p w:rsidR="00B87C8A" w:rsidRDefault="00B87C8A"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612DDE" w:rsidRDefault="00612DDE" w:rsidP="00BA356D">
      <w:pPr>
        <w:autoSpaceDE w:val="0"/>
        <w:autoSpaceDN w:val="0"/>
        <w:adjustRightInd w:val="0"/>
        <w:spacing w:afterLines="50" w:after="120"/>
        <w:jc w:val="center"/>
        <w:rPr>
          <w:rFonts w:ascii="黑体" w:eastAsia="黑体" w:hAnsi="Times New Roman" w:cs="黑体"/>
          <w:sz w:val="84"/>
          <w:szCs w:val="84"/>
        </w:rPr>
      </w:pPr>
    </w:p>
    <w:p w:rsidR="00B87C8A" w:rsidRDefault="002D1C8A" w:rsidP="00BA356D">
      <w:pPr>
        <w:autoSpaceDE w:val="0"/>
        <w:autoSpaceDN w:val="0"/>
        <w:adjustRightInd w:val="0"/>
        <w:spacing w:afterLines="50" w:after="120"/>
        <w:jc w:val="center"/>
        <w:rPr>
          <w:rFonts w:ascii="黑体" w:eastAsia="黑体" w:hAnsi="Times New Roman" w:cs="黑体"/>
          <w:sz w:val="84"/>
          <w:szCs w:val="84"/>
        </w:rPr>
      </w:pPr>
      <w:r>
        <w:rPr>
          <w:rFonts w:ascii="黑体" w:eastAsia="黑体" w:hAnsi="Times New Roman" w:cs="黑体"/>
          <w:sz w:val="84"/>
          <w:szCs w:val="84"/>
        </w:rPr>
        <w:t>第二部分</w:t>
      </w:r>
    </w:p>
    <w:p w:rsidR="00B87C8A" w:rsidRDefault="002D1C8A" w:rsidP="00BA356D">
      <w:pPr>
        <w:autoSpaceDE w:val="0"/>
        <w:autoSpaceDN w:val="0"/>
        <w:adjustRightInd w:val="0"/>
        <w:spacing w:beforeLines="100" w:before="240"/>
        <w:jc w:val="center"/>
        <w:rPr>
          <w:rFonts w:ascii="黑体" w:eastAsia="黑体" w:hAnsi="Times New Roman" w:cs="黑体"/>
          <w:sz w:val="96"/>
          <w:szCs w:val="96"/>
          <w:lang w:val="zh-CN"/>
        </w:rPr>
        <w:sectPr w:rsidR="00B87C8A" w:rsidSect="00612DDE">
          <w:pgSz w:w="12240" w:h="15840"/>
          <w:pgMar w:top="1440" w:right="1800" w:bottom="1440" w:left="1800" w:header="720" w:footer="720" w:gutter="0"/>
          <w:cols w:space="720"/>
          <w:docGrid w:linePitch="326"/>
        </w:sectPr>
      </w:pPr>
      <w:r>
        <w:rPr>
          <w:rFonts w:ascii="黑体" w:eastAsia="黑体" w:hAnsi="Times New Roman" w:cs="黑体"/>
          <w:sz w:val="84"/>
          <w:szCs w:val="84"/>
          <w:lang w:val="zh-CN"/>
        </w:rPr>
        <w:t>吉首大学</w:t>
      </w:r>
      <w:r w:rsidR="00CA5E48">
        <w:rPr>
          <w:rFonts w:ascii="黑体" w:eastAsia="黑体" w:hAnsi="Times New Roman" w:cs="黑体"/>
          <w:sz w:val="84"/>
          <w:szCs w:val="84"/>
          <w:lang w:val="zh-CN"/>
        </w:rPr>
        <w:t>202</w:t>
      </w:r>
      <w:r w:rsidR="00CA5E48">
        <w:rPr>
          <w:rFonts w:ascii="黑体" w:eastAsia="黑体" w:hAnsi="Times New Roman" w:cs="黑体" w:hint="eastAsia"/>
          <w:sz w:val="84"/>
          <w:szCs w:val="84"/>
          <w:lang w:val="zh-CN"/>
        </w:rPr>
        <w:t>2</w:t>
      </w:r>
      <w:r>
        <w:rPr>
          <w:rFonts w:ascii="黑体" w:eastAsia="黑体" w:hAnsi="Times New Roman" w:cs="黑体"/>
          <w:sz w:val="84"/>
          <w:szCs w:val="84"/>
          <w:lang w:val="zh-CN"/>
        </w:rPr>
        <w:t>年度部门决算表</w:t>
      </w:r>
    </w:p>
    <w:tbl>
      <w:tblPr>
        <w:tblW w:w="15224" w:type="dxa"/>
        <w:tblInd w:w="96" w:type="dxa"/>
        <w:tblLayout w:type="fixed"/>
        <w:tblLook w:val="04A0" w:firstRow="1" w:lastRow="0" w:firstColumn="1" w:lastColumn="0" w:noHBand="0" w:noVBand="1"/>
      </w:tblPr>
      <w:tblGrid>
        <w:gridCol w:w="3896"/>
        <w:gridCol w:w="1656"/>
        <w:gridCol w:w="1872"/>
        <w:gridCol w:w="3984"/>
        <w:gridCol w:w="1872"/>
        <w:gridCol w:w="1944"/>
      </w:tblGrid>
      <w:tr w:rsidR="00B87C8A">
        <w:trPr>
          <w:trHeight w:val="384"/>
        </w:trPr>
        <w:tc>
          <w:tcPr>
            <w:tcW w:w="15224" w:type="dxa"/>
            <w:gridSpan w:val="6"/>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一、收入支出决算总表</w:t>
            </w:r>
          </w:p>
        </w:tc>
      </w:tr>
      <w:tr w:rsidR="00B87C8A">
        <w:trPr>
          <w:trHeight w:val="264"/>
        </w:trPr>
        <w:tc>
          <w:tcPr>
            <w:tcW w:w="38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98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44"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公开01表</w:t>
            </w:r>
          </w:p>
        </w:tc>
      </w:tr>
      <w:tr w:rsidR="00B87C8A">
        <w:trPr>
          <w:trHeight w:val="264"/>
        </w:trPr>
        <w:tc>
          <w:tcPr>
            <w:tcW w:w="3896" w:type="dxa"/>
            <w:tcBorders>
              <w:top w:val="nil"/>
              <w:left w:val="nil"/>
              <w:bottom w:val="nil"/>
              <w:right w:val="nil"/>
              <w:tl2br w:val="nil"/>
              <w:tr2bl w:val="nil"/>
            </w:tcBorders>
            <w:noWrap/>
            <w:vAlign w:val="bottom"/>
          </w:tcPr>
          <w:p w:rsidR="00B87C8A" w:rsidRPr="00B237E9" w:rsidRDefault="002D1C8A">
            <w:pPr>
              <w:textAlignment w:val="bottom"/>
              <w:rPr>
                <w:color w:val="000000"/>
                <w:sz w:val="20"/>
                <w:szCs w:val="20"/>
              </w:rPr>
            </w:pPr>
            <w:r w:rsidRPr="00B237E9">
              <w:rPr>
                <w:color w:val="000000"/>
                <w:sz w:val="20"/>
                <w:szCs w:val="20"/>
              </w:rPr>
              <w:t>部门：吉首大学</w:t>
            </w:r>
          </w:p>
        </w:tc>
        <w:tc>
          <w:tcPr>
            <w:tcW w:w="1656"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3984"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944" w:type="dxa"/>
            <w:tcBorders>
              <w:top w:val="nil"/>
              <w:left w:val="nil"/>
              <w:bottom w:val="nil"/>
              <w:right w:val="nil"/>
              <w:tl2br w:val="nil"/>
              <w:tr2bl w:val="nil"/>
            </w:tcBorders>
            <w:noWrap/>
            <w:vAlign w:val="bottom"/>
          </w:tcPr>
          <w:p w:rsidR="00B87C8A" w:rsidRPr="00B237E9" w:rsidRDefault="002D1C8A">
            <w:pPr>
              <w:jc w:val="right"/>
              <w:textAlignment w:val="bottom"/>
              <w:rPr>
                <w:color w:val="000000"/>
                <w:sz w:val="20"/>
                <w:szCs w:val="20"/>
              </w:rPr>
            </w:pPr>
            <w:r w:rsidRPr="00B237E9">
              <w:rPr>
                <w:color w:val="000000"/>
                <w:sz w:val="20"/>
                <w:szCs w:val="20"/>
              </w:rPr>
              <w:t>金额单位：万元</w:t>
            </w:r>
          </w:p>
        </w:tc>
      </w:tr>
      <w:tr w:rsidR="00B87C8A">
        <w:trPr>
          <w:trHeight w:val="308"/>
        </w:trPr>
        <w:tc>
          <w:tcPr>
            <w:tcW w:w="7424"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收入</w:t>
            </w:r>
          </w:p>
        </w:tc>
        <w:tc>
          <w:tcPr>
            <w:tcW w:w="7800"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支出</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项目</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行次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金额</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项目</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行次</w:t>
            </w: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金额</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栏次</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jc w:val="center"/>
              <w:rPr>
                <w:color w:val="000000"/>
                <w:sz w:val="22"/>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1</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栏次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jc w:val="center"/>
              <w:rPr>
                <w:color w:val="000000"/>
                <w:sz w:val="22"/>
              </w:rPr>
            </w:pP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一、一般公共预算财政拨款收入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rPr>
                <w:color w:val="000000"/>
                <w:sz w:val="22"/>
              </w:rPr>
            </w:pPr>
            <w:r w:rsidRPr="0084256A">
              <w:rPr>
                <w:color w:val="000000"/>
                <w:sz w:val="22"/>
              </w:rPr>
              <w:t>41,326.95</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一、一般公共服务支出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92.88</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二、政府性基金预算财政拨款收入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二、外交支出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三、国有资本经营预算财政拨款收入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三、国防支出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四、上级补助收入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四、公共安全支出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五、事业收入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22,026.96</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五、教育支出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64,631.12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六、经营收入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六、科学技术支出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37</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306.50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七、附属单位上缴收入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七、文化旅游体育与传媒支出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38</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八、其他收入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2,665.68</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八、社会保障和就业支出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19.38</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九、卫生健康支出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523.39</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十、节能环保支出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十一、城乡社区支出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十二、农林水支出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十三、交通运输支出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十四、资源勘探工业信息等支出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十五、商业服务业等支出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十六、金融支出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47</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十七、援助其他地区支出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48</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十八、自然资源海洋气象等支出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十九、住房保障支出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二十、粮油物资储备支出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二十一、国有资本经营预算支出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二十二、灾害防治及应急管理支出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二十三、其他支出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b/>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二十四、债务还本支出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二十五、债务付息支出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auto"/>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26</w:t>
            </w:r>
          </w:p>
        </w:tc>
        <w:tc>
          <w:tcPr>
            <w:tcW w:w="1872" w:type="dxa"/>
            <w:tcBorders>
              <w:top w:val="nil"/>
              <w:left w:val="nil"/>
              <w:bottom w:val="single" w:sz="4" w:space="0" w:color="auto"/>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二十六、抗</w:t>
            </w:r>
            <w:proofErr w:type="gramStart"/>
            <w:r w:rsidRPr="00B237E9">
              <w:rPr>
                <w:color w:val="000000"/>
                <w:sz w:val="22"/>
              </w:rPr>
              <w:t>疫</w:t>
            </w:r>
            <w:proofErr w:type="gramEnd"/>
            <w:r w:rsidRPr="00B237E9">
              <w:rPr>
                <w:color w:val="000000"/>
                <w:sz w:val="22"/>
              </w:rPr>
              <w:t>特别国债安排的支出</w:t>
            </w:r>
          </w:p>
        </w:tc>
        <w:tc>
          <w:tcPr>
            <w:tcW w:w="1872"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57</w:t>
            </w:r>
          </w:p>
        </w:tc>
        <w:tc>
          <w:tcPr>
            <w:tcW w:w="1944"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single" w:sz="4" w:space="0" w:color="auto"/>
              <w:left w:val="single" w:sz="4" w:space="0" w:color="auto"/>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lastRenderedPageBreak/>
              <w:t>本年收入合计</w:t>
            </w:r>
          </w:p>
        </w:tc>
        <w:tc>
          <w:tcPr>
            <w:tcW w:w="1656"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27</w:t>
            </w:r>
          </w:p>
        </w:tc>
        <w:tc>
          <w:tcPr>
            <w:tcW w:w="1872" w:type="dxa"/>
            <w:tcBorders>
              <w:top w:val="single" w:sz="4" w:space="0" w:color="auto"/>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66,019.59</w:t>
            </w:r>
          </w:p>
        </w:tc>
        <w:tc>
          <w:tcPr>
            <w:tcW w:w="3984"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本年支出合计</w:t>
            </w:r>
          </w:p>
        </w:tc>
        <w:tc>
          <w:tcPr>
            <w:tcW w:w="1872"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58</w:t>
            </w:r>
          </w:p>
        </w:tc>
        <w:tc>
          <w:tcPr>
            <w:tcW w:w="1944"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65,643.27</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使用非财政拨款结余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结余分配</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59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3,507.80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年初结转和结余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17,655.15</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年末结转和结余</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14,523.68</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rPr>
                <w:color w:val="000000"/>
                <w:sz w:val="20"/>
                <w:szCs w:val="20"/>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30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rPr>
                <w:color w:val="000000"/>
                <w:sz w:val="20"/>
                <w:szCs w:val="20"/>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 xml:space="preserve">　</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总计</w:t>
            </w:r>
          </w:p>
        </w:tc>
        <w:tc>
          <w:tcPr>
            <w:tcW w:w="1656" w:type="dxa"/>
            <w:tcBorders>
              <w:top w:val="nil"/>
              <w:left w:val="nil"/>
              <w:bottom w:val="single" w:sz="8"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31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83,674.74</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总计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83,674.74</w:t>
            </w:r>
          </w:p>
        </w:tc>
      </w:tr>
      <w:tr w:rsidR="00B87C8A">
        <w:trPr>
          <w:trHeight w:val="308"/>
        </w:trPr>
        <w:tc>
          <w:tcPr>
            <w:tcW w:w="15224" w:type="dxa"/>
            <w:gridSpan w:val="6"/>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注：本表反映部门本年度的总收支和年末结转结余情况。本套报表金额单位转换时可能存在尾数误差。</w:t>
            </w:r>
          </w:p>
          <w:p w:rsidR="00BA29D2" w:rsidRPr="00BA29D2" w:rsidRDefault="00BA29D2">
            <w:pPr>
              <w:textAlignment w:val="center"/>
              <w:rPr>
                <w:color w:val="000000"/>
                <w:sz w:val="22"/>
              </w:rPr>
            </w:pPr>
          </w:p>
        </w:tc>
      </w:tr>
    </w:tbl>
    <w:p w:rsidR="00B87C8A" w:rsidRPr="00BA29D2" w:rsidRDefault="00B87C8A">
      <w:pPr>
        <w:spacing w:line="600" w:lineRule="exact"/>
        <w:jc w:val="center"/>
        <w:rPr>
          <w:rFonts w:ascii="黑体" w:eastAsia="黑体" w:hAnsi="Times New Roman" w:cs="黑体"/>
          <w:sz w:val="32"/>
          <w:szCs w:val="32"/>
        </w:rPr>
        <w:sectPr w:rsidR="00B87C8A" w:rsidRPr="00BA29D2">
          <w:pgSz w:w="16838" w:h="11906" w:orient="landscape"/>
          <w:pgMar w:top="720" w:right="873" w:bottom="720" w:left="720" w:header="720" w:footer="720" w:gutter="0"/>
          <w:cols w:space="720"/>
        </w:sectPr>
      </w:pPr>
    </w:p>
    <w:tbl>
      <w:tblPr>
        <w:tblW w:w="15202" w:type="dxa"/>
        <w:tblInd w:w="96" w:type="dxa"/>
        <w:tblLayout w:type="fixed"/>
        <w:tblLook w:val="04A0" w:firstRow="1" w:lastRow="0" w:firstColumn="1" w:lastColumn="0" w:noHBand="0" w:noVBand="1"/>
      </w:tblPr>
      <w:tblGrid>
        <w:gridCol w:w="1468"/>
        <w:gridCol w:w="2928"/>
        <w:gridCol w:w="1608"/>
        <w:gridCol w:w="1464"/>
        <w:gridCol w:w="1560"/>
        <w:gridCol w:w="1440"/>
        <w:gridCol w:w="1320"/>
        <w:gridCol w:w="1656"/>
        <w:gridCol w:w="1698"/>
        <w:gridCol w:w="60"/>
      </w:tblGrid>
      <w:tr w:rsidR="00B87C8A">
        <w:trPr>
          <w:gridAfter w:val="1"/>
          <w:wAfter w:w="60" w:type="dxa"/>
          <w:trHeight w:val="384"/>
        </w:trPr>
        <w:tc>
          <w:tcPr>
            <w:tcW w:w="15142" w:type="dxa"/>
            <w:gridSpan w:val="9"/>
            <w:tcBorders>
              <w:top w:val="nil"/>
              <w:left w:val="nil"/>
              <w:bottom w:val="nil"/>
              <w:right w:val="nil"/>
              <w:tl2br w:val="nil"/>
              <w:tr2bl w:val="nil"/>
            </w:tcBorders>
            <w:noWrap/>
            <w:vAlign w:val="bottom"/>
          </w:tcPr>
          <w:p w:rsidR="00B87C8A" w:rsidRDefault="002D1C8A">
            <w:pPr>
              <w:tabs>
                <w:tab w:val="left" w:pos="1470"/>
              </w:tabs>
              <w:jc w:val="center"/>
              <w:textAlignment w:val="bottom"/>
              <w:rPr>
                <w:color w:val="000000"/>
                <w:sz w:val="30"/>
                <w:szCs w:val="30"/>
              </w:rPr>
            </w:pPr>
            <w:r>
              <w:rPr>
                <w:color w:val="000000"/>
                <w:sz w:val="30"/>
                <w:szCs w:val="30"/>
              </w:rPr>
              <w:lastRenderedPageBreak/>
              <w:t>二、收入决算表</w:t>
            </w:r>
          </w:p>
        </w:tc>
      </w:tr>
      <w:tr w:rsidR="00B87C8A">
        <w:trPr>
          <w:trHeight w:val="288"/>
        </w:trPr>
        <w:tc>
          <w:tcPr>
            <w:tcW w:w="146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92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6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6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4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758" w:type="dxa"/>
            <w:gridSpan w:val="2"/>
            <w:tcBorders>
              <w:top w:val="nil"/>
              <w:left w:val="nil"/>
              <w:bottom w:val="nil"/>
              <w:right w:val="nil"/>
              <w:tl2br w:val="nil"/>
              <w:tr2bl w:val="nil"/>
            </w:tcBorders>
            <w:noWrap/>
            <w:vAlign w:val="bottom"/>
          </w:tcPr>
          <w:p w:rsidR="00B87C8A" w:rsidRDefault="002D1C8A">
            <w:pPr>
              <w:jc w:val="center"/>
              <w:textAlignment w:val="bottom"/>
              <w:rPr>
                <w:color w:val="000000"/>
                <w:sz w:val="20"/>
                <w:szCs w:val="20"/>
              </w:rPr>
            </w:pPr>
            <w:r>
              <w:rPr>
                <w:color w:val="000000"/>
                <w:sz w:val="20"/>
                <w:szCs w:val="20"/>
              </w:rPr>
              <w:t>公开02表</w:t>
            </w:r>
          </w:p>
        </w:tc>
      </w:tr>
      <w:tr w:rsidR="00B87C8A">
        <w:trPr>
          <w:trHeight w:val="264"/>
        </w:trPr>
        <w:tc>
          <w:tcPr>
            <w:tcW w:w="4396" w:type="dxa"/>
            <w:gridSpan w:val="2"/>
            <w:tcBorders>
              <w:top w:val="nil"/>
              <w:left w:val="nil"/>
              <w:bottom w:val="nil"/>
              <w:right w:val="nil"/>
              <w:tl2br w:val="nil"/>
              <w:tr2bl w:val="nil"/>
            </w:tcBorders>
            <w:noWrap/>
            <w:vAlign w:val="bottom"/>
          </w:tcPr>
          <w:p w:rsidR="00B87C8A" w:rsidRDefault="002D1C8A">
            <w:pPr>
              <w:rPr>
                <w:rFonts w:ascii="Arial" w:hAnsi="Arial" w:cs="Arial"/>
                <w:color w:val="000000"/>
                <w:sz w:val="20"/>
                <w:szCs w:val="20"/>
              </w:rPr>
            </w:pPr>
            <w:r>
              <w:rPr>
                <w:color w:val="000000"/>
                <w:sz w:val="20"/>
                <w:szCs w:val="20"/>
              </w:rPr>
              <w:t>部门：吉首大学</w:t>
            </w:r>
          </w:p>
        </w:tc>
        <w:tc>
          <w:tcPr>
            <w:tcW w:w="16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6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4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758" w:type="dxa"/>
            <w:gridSpan w:val="2"/>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金额单位：万元</w:t>
            </w:r>
          </w:p>
        </w:tc>
      </w:tr>
      <w:tr w:rsidR="00B87C8A">
        <w:trPr>
          <w:trHeight w:val="308"/>
        </w:trPr>
        <w:tc>
          <w:tcPr>
            <w:tcW w:w="4396"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项目</w:t>
            </w:r>
          </w:p>
        </w:tc>
        <w:tc>
          <w:tcPr>
            <w:tcW w:w="1608"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本年收入合计</w:t>
            </w:r>
          </w:p>
        </w:tc>
        <w:tc>
          <w:tcPr>
            <w:tcW w:w="1464"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财政拨款收入</w:t>
            </w:r>
          </w:p>
        </w:tc>
        <w:tc>
          <w:tcPr>
            <w:tcW w:w="156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上级补助收入</w:t>
            </w:r>
          </w:p>
        </w:tc>
        <w:tc>
          <w:tcPr>
            <w:tcW w:w="144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事业收入</w:t>
            </w:r>
          </w:p>
        </w:tc>
        <w:tc>
          <w:tcPr>
            <w:tcW w:w="1320"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经营收入</w:t>
            </w:r>
          </w:p>
        </w:tc>
        <w:tc>
          <w:tcPr>
            <w:tcW w:w="1656"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附属单位上缴收入</w:t>
            </w:r>
          </w:p>
        </w:tc>
        <w:tc>
          <w:tcPr>
            <w:tcW w:w="1758"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其他收入</w:t>
            </w:r>
          </w:p>
        </w:tc>
      </w:tr>
      <w:tr w:rsidR="00B87C8A">
        <w:trPr>
          <w:trHeight w:val="308"/>
        </w:trPr>
        <w:tc>
          <w:tcPr>
            <w:tcW w:w="1468"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功能分类科目编码</w:t>
            </w:r>
          </w:p>
        </w:tc>
        <w:tc>
          <w:tcPr>
            <w:tcW w:w="292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trPr>
          <w:trHeight w:val="308"/>
        </w:trPr>
        <w:tc>
          <w:tcPr>
            <w:tcW w:w="146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9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trPr>
          <w:trHeight w:val="308"/>
        </w:trPr>
        <w:tc>
          <w:tcPr>
            <w:tcW w:w="146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9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6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64"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6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4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65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5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trPr>
          <w:trHeight w:val="308"/>
        </w:trPr>
        <w:tc>
          <w:tcPr>
            <w:tcW w:w="4396"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146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5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44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6</w:t>
            </w:r>
          </w:p>
        </w:tc>
        <w:tc>
          <w:tcPr>
            <w:tcW w:w="175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7</w:t>
            </w:r>
          </w:p>
        </w:tc>
      </w:tr>
      <w:tr w:rsidR="0084256A">
        <w:trPr>
          <w:trHeight w:val="308"/>
        </w:trPr>
        <w:tc>
          <w:tcPr>
            <w:tcW w:w="4396"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合计</w:t>
            </w:r>
          </w:p>
        </w:tc>
        <w:tc>
          <w:tcPr>
            <w:tcW w:w="1608"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r w:rsidRPr="00BB7447">
              <w:rPr>
                <w:b/>
                <w:color w:val="000000"/>
                <w:sz w:val="22"/>
              </w:rPr>
              <w:t>66,019.59</w:t>
            </w:r>
          </w:p>
        </w:tc>
        <w:tc>
          <w:tcPr>
            <w:tcW w:w="1464"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r w:rsidRPr="00BB7447">
              <w:rPr>
                <w:b/>
                <w:color w:val="000000"/>
                <w:sz w:val="22"/>
              </w:rPr>
              <w:t>41,326.95</w:t>
            </w:r>
          </w:p>
        </w:tc>
        <w:tc>
          <w:tcPr>
            <w:tcW w:w="1560"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r w:rsidRPr="00BB7447">
              <w:rPr>
                <w:b/>
                <w:color w:val="000000"/>
                <w:sz w:val="22"/>
              </w:rPr>
              <w:t>22,026.96</w:t>
            </w:r>
          </w:p>
        </w:tc>
        <w:tc>
          <w:tcPr>
            <w:tcW w:w="1320"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BB7447" w:rsidRDefault="0084256A" w:rsidP="0084256A">
            <w:pPr>
              <w:jc w:val="right"/>
              <w:textAlignment w:val="center"/>
              <w:rPr>
                <w:b/>
                <w:color w:val="000000"/>
                <w:sz w:val="22"/>
              </w:rPr>
            </w:pPr>
            <w:r w:rsidRPr="00BB7447">
              <w:rPr>
                <w:b/>
                <w:color w:val="000000"/>
                <w:sz w:val="22"/>
              </w:rPr>
              <w:t>2,665.68</w:t>
            </w: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一般公共服务支出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93.50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93.50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20106</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财政事务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2.50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2.50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2010699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其他财政事务支出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2.50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2.50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20114</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知识产权事务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2011499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其他知识产权事务支出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20123</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民族事务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36.00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36.00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2012304</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民族工作专项</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36.00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36.00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20129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群众团体事务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2012902</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一般行政管理事务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205</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教育支出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65,084.01</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40,391.37</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22,026.96</w:t>
            </w: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2,665.68</w:t>
            </w: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20502</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普通教育</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65,084.01</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40,391.37</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22,026.96</w:t>
            </w: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2,665.68</w:t>
            </w: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2050205</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高等教育</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65,084.01</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40,391.37</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22,026.96</w:t>
            </w: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2,665.68</w:t>
            </w: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科学技术支出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354.70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354.70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20602</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基础研究</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85.00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85.00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2060203</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自然科学基金</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85.00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85.00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20605</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科技条件与服务</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2060599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其他科技条件与服务支出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20606</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社会科学</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117.70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117.70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2060603</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社科基金支出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48.20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48.20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2060699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其他社会科学支出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69.50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69.50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20607</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科学技术普及</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2060799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其他科学技术普及支出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auto"/>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20609</w:t>
            </w:r>
          </w:p>
        </w:tc>
        <w:tc>
          <w:tcPr>
            <w:tcW w:w="2928"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科技重大项目</w:t>
            </w:r>
          </w:p>
        </w:tc>
        <w:tc>
          <w:tcPr>
            <w:tcW w:w="1608"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single" w:sz="4" w:space="0" w:color="auto"/>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lastRenderedPageBreak/>
              <w:t>2060902</w:t>
            </w:r>
          </w:p>
        </w:tc>
        <w:tc>
          <w:tcPr>
            <w:tcW w:w="2928"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重点研发计划</w:t>
            </w:r>
          </w:p>
        </w:tc>
        <w:tc>
          <w:tcPr>
            <w:tcW w:w="1608"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single" w:sz="4" w:space="0" w:color="auto"/>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其他科学技术支出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2069999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其他科学技术支出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40.00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207</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文化旅游体育与传媒支出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20701</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文化和旅游</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2070111</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文化创作与保护</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50.00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208</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社会保障和就业支出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19.38</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19.38</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20807</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就业补助</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18.40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18.40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2080799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其他就业补助支出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18.40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18.40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20899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其他社会保障和就业支出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0.98</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0.98</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2089999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其他社会保障和就业支出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0.98</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0.98</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卫生健康支出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398.00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398.00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21004</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公共卫生</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394.00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394.00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2100499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其他公共卫生支出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394.00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394.00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21006</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中医药</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2100601</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中医（民族</w:t>
            </w:r>
            <w:proofErr w:type="gramStart"/>
            <w:r w:rsidRPr="0084256A">
              <w:rPr>
                <w:color w:val="000000"/>
                <w:sz w:val="22"/>
              </w:rPr>
              <w:t>医</w:t>
            </w:r>
            <w:proofErr w:type="gramEnd"/>
            <w:r w:rsidRPr="0084256A">
              <w:rPr>
                <w:color w:val="000000"/>
                <w:sz w:val="22"/>
              </w:rPr>
              <w:t>）药专项</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其他卫生健康支出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2109999</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其他卫生健康支出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213</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农林水支出</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21302</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林业和草原</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1468" w:type="dxa"/>
            <w:tcBorders>
              <w:top w:val="nil"/>
              <w:left w:val="single" w:sz="4" w:space="0" w:color="000000"/>
              <w:bottom w:val="single" w:sz="4" w:space="0" w:color="000000"/>
              <w:right w:val="single" w:sz="4" w:space="0" w:color="000000"/>
              <w:tl2br w:val="nil"/>
              <w:tr2bl w:val="nil"/>
            </w:tcBorders>
            <w:noWrap/>
            <w:vAlign w:val="center"/>
          </w:tcPr>
          <w:p w:rsidR="0084256A" w:rsidRPr="0084256A" w:rsidRDefault="0084256A" w:rsidP="0084256A">
            <w:pPr>
              <w:textAlignment w:val="center"/>
              <w:rPr>
                <w:color w:val="000000"/>
                <w:sz w:val="22"/>
              </w:rPr>
            </w:pPr>
            <w:r w:rsidRPr="0084256A">
              <w:rPr>
                <w:color w:val="000000"/>
                <w:sz w:val="22"/>
              </w:rPr>
              <w:t>2130211</w:t>
            </w:r>
          </w:p>
        </w:tc>
        <w:tc>
          <w:tcPr>
            <w:tcW w:w="292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ind w:firstLineChars="100" w:firstLine="220"/>
              <w:textAlignment w:val="center"/>
              <w:rPr>
                <w:color w:val="000000"/>
                <w:sz w:val="22"/>
              </w:rPr>
            </w:pPr>
            <w:r w:rsidRPr="0084256A">
              <w:rPr>
                <w:color w:val="000000"/>
                <w:sz w:val="22"/>
              </w:rPr>
              <w:t>动植物保护</w:t>
            </w:r>
          </w:p>
        </w:tc>
        <w:tc>
          <w:tcPr>
            <w:tcW w:w="1608"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46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20.00</w:t>
            </w:r>
          </w:p>
        </w:tc>
        <w:tc>
          <w:tcPr>
            <w:tcW w:w="156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44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320"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656"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c>
          <w:tcPr>
            <w:tcW w:w="1758" w:type="dxa"/>
            <w:gridSpan w:val="2"/>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gridAfter w:val="1"/>
          <w:wAfter w:w="60" w:type="dxa"/>
          <w:trHeight w:val="308"/>
        </w:trPr>
        <w:tc>
          <w:tcPr>
            <w:tcW w:w="15142" w:type="dxa"/>
            <w:gridSpan w:val="9"/>
            <w:tcBorders>
              <w:top w:val="nil"/>
              <w:left w:val="nil"/>
              <w:bottom w:val="nil"/>
              <w:right w:val="nil"/>
              <w:tl2br w:val="nil"/>
              <w:tr2bl w:val="nil"/>
            </w:tcBorders>
            <w:noWrap/>
            <w:vAlign w:val="center"/>
          </w:tcPr>
          <w:p w:rsidR="0084256A" w:rsidRDefault="0084256A">
            <w:pPr>
              <w:textAlignment w:val="center"/>
              <w:rPr>
                <w:color w:val="000000"/>
                <w:sz w:val="22"/>
              </w:rPr>
            </w:pPr>
            <w:r>
              <w:rPr>
                <w:color w:val="000000"/>
                <w:sz w:val="22"/>
              </w:rPr>
              <w:t>注：本表反映部门本年度取得的各项收入情况。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22" w:type="dxa"/>
        <w:tblInd w:w="96" w:type="dxa"/>
        <w:tblLayout w:type="fixed"/>
        <w:tblLook w:val="04A0" w:firstRow="1" w:lastRow="0" w:firstColumn="1" w:lastColumn="0" w:noHBand="0" w:noVBand="1"/>
      </w:tblPr>
      <w:tblGrid>
        <w:gridCol w:w="1613"/>
        <w:gridCol w:w="236"/>
        <w:gridCol w:w="236"/>
        <w:gridCol w:w="3335"/>
        <w:gridCol w:w="1737"/>
        <w:gridCol w:w="1817"/>
        <w:gridCol w:w="1537"/>
        <w:gridCol w:w="1537"/>
        <w:gridCol w:w="1298"/>
        <w:gridCol w:w="1876"/>
      </w:tblGrid>
      <w:tr w:rsidR="00B87C8A">
        <w:trPr>
          <w:trHeight w:val="384"/>
        </w:trPr>
        <w:tc>
          <w:tcPr>
            <w:tcW w:w="15222" w:type="dxa"/>
            <w:gridSpan w:val="10"/>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三、支出决算表</w:t>
            </w:r>
          </w:p>
        </w:tc>
      </w:tr>
      <w:tr w:rsidR="00B87C8A" w:rsidTr="00143480">
        <w:trPr>
          <w:trHeight w:val="264"/>
        </w:trPr>
        <w:tc>
          <w:tcPr>
            <w:tcW w:w="161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335"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7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1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9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6"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公开03表</w:t>
            </w:r>
          </w:p>
        </w:tc>
      </w:tr>
      <w:tr w:rsidR="00B87C8A" w:rsidTr="00143480">
        <w:trPr>
          <w:trHeight w:val="264"/>
        </w:trPr>
        <w:tc>
          <w:tcPr>
            <w:tcW w:w="1613" w:type="dxa"/>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335"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7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1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9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6"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143480">
        <w:trPr>
          <w:trHeight w:val="308"/>
        </w:trPr>
        <w:tc>
          <w:tcPr>
            <w:tcW w:w="542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173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本年支出合计</w:t>
            </w:r>
          </w:p>
        </w:tc>
        <w:tc>
          <w:tcPr>
            <w:tcW w:w="181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基本支出</w:t>
            </w:r>
          </w:p>
        </w:tc>
        <w:tc>
          <w:tcPr>
            <w:tcW w:w="153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项目支出</w:t>
            </w:r>
          </w:p>
        </w:tc>
        <w:tc>
          <w:tcPr>
            <w:tcW w:w="153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上缴上级支出</w:t>
            </w:r>
          </w:p>
        </w:tc>
        <w:tc>
          <w:tcPr>
            <w:tcW w:w="1298"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经营支出</w:t>
            </w:r>
          </w:p>
        </w:tc>
        <w:tc>
          <w:tcPr>
            <w:tcW w:w="1876"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对附属单位补助支出</w:t>
            </w:r>
          </w:p>
        </w:tc>
      </w:tr>
      <w:tr w:rsidR="00B87C8A" w:rsidTr="00143480">
        <w:trPr>
          <w:trHeight w:val="308"/>
        </w:trPr>
        <w:tc>
          <w:tcPr>
            <w:tcW w:w="2085"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功能分类科目编码</w:t>
            </w:r>
          </w:p>
        </w:tc>
        <w:tc>
          <w:tcPr>
            <w:tcW w:w="3335"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科目名称</w:t>
            </w:r>
          </w:p>
        </w:tc>
        <w:tc>
          <w:tcPr>
            <w:tcW w:w="17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1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29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7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143480">
        <w:trPr>
          <w:trHeight w:val="308"/>
        </w:trPr>
        <w:tc>
          <w:tcPr>
            <w:tcW w:w="2085"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335"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1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29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7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143480">
        <w:trPr>
          <w:trHeight w:val="312"/>
        </w:trPr>
        <w:tc>
          <w:tcPr>
            <w:tcW w:w="2085"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335"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1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3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29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87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143480">
        <w:trPr>
          <w:trHeight w:val="308"/>
        </w:trPr>
        <w:tc>
          <w:tcPr>
            <w:tcW w:w="54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173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181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53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53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29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c>
          <w:tcPr>
            <w:tcW w:w="18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6</w:t>
            </w:r>
          </w:p>
        </w:tc>
      </w:tr>
      <w:tr w:rsidR="00143480" w:rsidTr="00143480">
        <w:trPr>
          <w:trHeight w:val="308"/>
        </w:trPr>
        <w:tc>
          <w:tcPr>
            <w:tcW w:w="54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合计</w:t>
            </w:r>
          </w:p>
        </w:tc>
        <w:tc>
          <w:tcPr>
            <w:tcW w:w="1737"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b/>
                <w:color w:val="000000"/>
                <w:sz w:val="22"/>
              </w:rPr>
            </w:pPr>
            <w:r w:rsidRPr="00143480">
              <w:rPr>
                <w:b/>
                <w:color w:val="000000"/>
                <w:sz w:val="22"/>
              </w:rPr>
              <w:t>65,643.27</w:t>
            </w:r>
          </w:p>
        </w:tc>
        <w:tc>
          <w:tcPr>
            <w:tcW w:w="1817"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b/>
                <w:color w:val="000000"/>
                <w:sz w:val="22"/>
              </w:rPr>
            </w:pPr>
            <w:r w:rsidRPr="00143480">
              <w:rPr>
                <w:b/>
                <w:color w:val="000000"/>
                <w:sz w:val="22"/>
              </w:rPr>
              <w:t>39,628.18</w:t>
            </w:r>
          </w:p>
        </w:tc>
        <w:tc>
          <w:tcPr>
            <w:tcW w:w="1537"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b/>
                <w:color w:val="000000"/>
                <w:sz w:val="22"/>
              </w:rPr>
            </w:pPr>
            <w:r w:rsidRPr="00143480">
              <w:rPr>
                <w:b/>
                <w:color w:val="000000"/>
                <w:sz w:val="22"/>
              </w:rPr>
              <w:t>26,015.09</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一般公共服务支出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92.88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92.88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20106</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财政事务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2.38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2.38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2010699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其他财政事务支出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2.38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2.38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20114</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知识产权事务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49.50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49.50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2011499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其他知识产权事务支出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49.50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49.50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20123</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民族事务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36.00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36.00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2012304</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民族工作专项</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36.00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36.00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20129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群众团体事务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2012902</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一般行政管理事务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205</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教育支出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64,631.12</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39,628.18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25,002.94</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20502</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普通教育</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64,631.12</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39,628.18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25,002.94</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2050205</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高等教育</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64,631.12</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39,628.18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25,002.94</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科学技术支出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306.50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306.50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20602</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基础研究</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85.00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85.00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2060203</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自然科学基金</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85.00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85.00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20605</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科技条件与服务</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2060599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其他科技条件与服务支出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20606</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社会科学</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69.50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69.50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2060699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其他社会科学支出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69.50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69.50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20607</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科学技术普及</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2060799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其他科学技术普及支出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auto"/>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20609</w:t>
            </w:r>
          </w:p>
        </w:tc>
        <w:tc>
          <w:tcPr>
            <w:tcW w:w="3335" w:type="dxa"/>
            <w:tcBorders>
              <w:top w:val="nil"/>
              <w:left w:val="nil"/>
              <w:bottom w:val="single" w:sz="4" w:space="0" w:color="auto"/>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科技重大项目</w:t>
            </w:r>
          </w:p>
        </w:tc>
        <w:tc>
          <w:tcPr>
            <w:tcW w:w="1737"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817"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537"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BB7447">
        <w:trPr>
          <w:trHeight w:val="308"/>
        </w:trPr>
        <w:tc>
          <w:tcPr>
            <w:tcW w:w="2085" w:type="dxa"/>
            <w:gridSpan w:val="3"/>
            <w:tcBorders>
              <w:top w:val="single" w:sz="4" w:space="0" w:color="auto"/>
              <w:left w:val="single" w:sz="4" w:space="0" w:color="000000"/>
              <w:bottom w:val="single" w:sz="4" w:space="0" w:color="auto"/>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2060902</w:t>
            </w:r>
          </w:p>
        </w:tc>
        <w:tc>
          <w:tcPr>
            <w:tcW w:w="3335" w:type="dxa"/>
            <w:tcBorders>
              <w:top w:val="single" w:sz="4" w:space="0" w:color="auto"/>
              <w:left w:val="nil"/>
              <w:bottom w:val="single" w:sz="4" w:space="0" w:color="auto"/>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重点研发计划</w:t>
            </w:r>
          </w:p>
        </w:tc>
        <w:tc>
          <w:tcPr>
            <w:tcW w:w="1737"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817"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537"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single" w:sz="4" w:space="0" w:color="auto"/>
              <w:left w:val="nil"/>
              <w:bottom w:val="single" w:sz="4" w:space="0" w:color="auto"/>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BB7447">
        <w:trPr>
          <w:trHeight w:val="308"/>
        </w:trPr>
        <w:tc>
          <w:tcPr>
            <w:tcW w:w="2085" w:type="dxa"/>
            <w:gridSpan w:val="3"/>
            <w:tcBorders>
              <w:top w:val="single" w:sz="4" w:space="0" w:color="auto"/>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lastRenderedPageBreak/>
              <w:t>20699</w:t>
            </w:r>
          </w:p>
        </w:tc>
        <w:tc>
          <w:tcPr>
            <w:tcW w:w="3335" w:type="dxa"/>
            <w:tcBorders>
              <w:top w:val="single" w:sz="4" w:space="0" w:color="auto"/>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其他科学技术支出</w:t>
            </w:r>
          </w:p>
        </w:tc>
        <w:tc>
          <w:tcPr>
            <w:tcW w:w="1737"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40.00</w:t>
            </w:r>
          </w:p>
        </w:tc>
        <w:tc>
          <w:tcPr>
            <w:tcW w:w="1817"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40.00</w:t>
            </w:r>
          </w:p>
        </w:tc>
        <w:tc>
          <w:tcPr>
            <w:tcW w:w="1537"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single" w:sz="4" w:space="0" w:color="auto"/>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2069999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其他科学技术支出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40.00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207</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文化旅游体育与传媒支出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20701</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文化和旅游</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2070111</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文化创作与保护</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208</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社会保障和就业支出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19.38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19.38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20807</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就业补助</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18.40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18.40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2080799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其他就业补助支出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18.40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18.40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20899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其他社会保障和就业支出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0.98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0.98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2089999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其他社会保障和就业支出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0.98</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0.98</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卫生健康支出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523.39</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523.39</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21004</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公共卫生</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519.39</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519.39</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2100499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其他公共卫生支出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519.39</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519.39</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21006</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中医药</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2100601</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中医（民族</w:t>
            </w:r>
            <w:proofErr w:type="gramStart"/>
            <w:r w:rsidRPr="0084256A">
              <w:rPr>
                <w:color w:val="000000"/>
                <w:sz w:val="22"/>
              </w:rPr>
              <w:t>医</w:t>
            </w:r>
            <w:proofErr w:type="gramEnd"/>
            <w:r w:rsidRPr="0084256A">
              <w:rPr>
                <w:color w:val="000000"/>
                <w:sz w:val="22"/>
              </w:rPr>
              <w:t>）药专项</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其他卫生健康支出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2109999</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其他卫生健康支出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213</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农林水支出</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21302</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林业和草原</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143480" w:rsidTr="00143480">
        <w:trPr>
          <w:trHeight w:val="308"/>
        </w:trPr>
        <w:tc>
          <w:tcPr>
            <w:tcW w:w="2085" w:type="dxa"/>
            <w:gridSpan w:val="3"/>
            <w:tcBorders>
              <w:top w:val="nil"/>
              <w:left w:val="single" w:sz="4" w:space="0" w:color="000000"/>
              <w:bottom w:val="single" w:sz="4" w:space="0" w:color="000000"/>
              <w:right w:val="single" w:sz="4" w:space="0" w:color="000000"/>
              <w:tl2br w:val="nil"/>
              <w:tr2bl w:val="nil"/>
            </w:tcBorders>
            <w:noWrap/>
            <w:vAlign w:val="center"/>
          </w:tcPr>
          <w:p w:rsidR="00143480" w:rsidRPr="0084256A" w:rsidRDefault="00143480" w:rsidP="00143480">
            <w:pPr>
              <w:textAlignment w:val="center"/>
              <w:rPr>
                <w:color w:val="000000"/>
                <w:sz w:val="22"/>
              </w:rPr>
            </w:pPr>
            <w:r w:rsidRPr="0084256A">
              <w:rPr>
                <w:color w:val="000000"/>
                <w:sz w:val="22"/>
              </w:rPr>
              <w:t>2130211</w:t>
            </w:r>
          </w:p>
        </w:tc>
        <w:tc>
          <w:tcPr>
            <w:tcW w:w="3335" w:type="dxa"/>
            <w:tcBorders>
              <w:top w:val="nil"/>
              <w:left w:val="nil"/>
              <w:bottom w:val="single" w:sz="4" w:space="0" w:color="000000"/>
              <w:right w:val="single" w:sz="4" w:space="0" w:color="000000"/>
              <w:tl2br w:val="nil"/>
              <w:tr2bl w:val="nil"/>
            </w:tcBorders>
            <w:noWrap/>
            <w:vAlign w:val="center"/>
          </w:tcPr>
          <w:p w:rsidR="00143480" w:rsidRPr="0084256A" w:rsidRDefault="00143480" w:rsidP="00143480">
            <w:pPr>
              <w:ind w:firstLineChars="100" w:firstLine="220"/>
              <w:textAlignment w:val="center"/>
              <w:rPr>
                <w:color w:val="000000"/>
                <w:sz w:val="22"/>
              </w:rPr>
            </w:pPr>
            <w:r w:rsidRPr="0084256A">
              <w:rPr>
                <w:color w:val="000000"/>
                <w:sz w:val="22"/>
              </w:rPr>
              <w:t>动植物保护</w:t>
            </w:r>
          </w:p>
        </w:tc>
        <w:tc>
          <w:tcPr>
            <w:tcW w:w="17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81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r w:rsidRPr="00BB7447">
              <w:rPr>
                <w:color w:val="000000"/>
                <w:sz w:val="22"/>
              </w:rPr>
              <w:t>20.00</w:t>
            </w:r>
          </w:p>
        </w:tc>
        <w:tc>
          <w:tcPr>
            <w:tcW w:w="1537"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29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876"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B87C8A">
        <w:trPr>
          <w:trHeight w:val="308"/>
        </w:trPr>
        <w:tc>
          <w:tcPr>
            <w:tcW w:w="15222" w:type="dxa"/>
            <w:gridSpan w:val="10"/>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注：本表反映部门本年度各项支出情况。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firstRow="1" w:lastRow="0" w:firstColumn="1" w:lastColumn="0" w:noHBand="0" w:noVBand="1"/>
      </w:tblPr>
      <w:tblGrid>
        <w:gridCol w:w="3102"/>
        <w:gridCol w:w="800"/>
        <w:gridCol w:w="1360"/>
        <w:gridCol w:w="3420"/>
        <w:gridCol w:w="800"/>
        <w:gridCol w:w="1320"/>
        <w:gridCol w:w="1420"/>
        <w:gridCol w:w="1541"/>
        <w:gridCol w:w="1519"/>
      </w:tblGrid>
      <w:tr w:rsidR="00B87C8A">
        <w:trPr>
          <w:trHeight w:val="384"/>
        </w:trPr>
        <w:tc>
          <w:tcPr>
            <w:tcW w:w="15282" w:type="dxa"/>
            <w:gridSpan w:val="9"/>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四、财政拨款收入支出决算总表</w:t>
            </w:r>
          </w:p>
        </w:tc>
      </w:tr>
      <w:tr w:rsidR="00B87C8A">
        <w:trPr>
          <w:trHeight w:val="264"/>
        </w:trPr>
        <w:tc>
          <w:tcPr>
            <w:tcW w:w="310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公开04表</w:t>
            </w:r>
          </w:p>
        </w:tc>
      </w:tr>
      <w:tr w:rsidR="00B87C8A">
        <w:trPr>
          <w:trHeight w:val="264"/>
        </w:trPr>
        <w:tc>
          <w:tcPr>
            <w:tcW w:w="3102" w:type="dxa"/>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trPr>
          <w:trHeight w:val="308"/>
        </w:trPr>
        <w:tc>
          <w:tcPr>
            <w:tcW w:w="5262"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收     入</w:t>
            </w:r>
          </w:p>
        </w:tc>
        <w:tc>
          <w:tcPr>
            <w:tcW w:w="10020"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支     出</w:t>
            </w:r>
          </w:p>
        </w:tc>
      </w:tr>
      <w:tr w:rsidR="00B87C8A">
        <w:trPr>
          <w:trHeight w:val="293"/>
        </w:trPr>
        <w:tc>
          <w:tcPr>
            <w:tcW w:w="3102"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行次</w:t>
            </w:r>
          </w:p>
        </w:tc>
        <w:tc>
          <w:tcPr>
            <w:tcW w:w="136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金额</w:t>
            </w:r>
          </w:p>
        </w:tc>
        <w:tc>
          <w:tcPr>
            <w:tcW w:w="3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行次</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一般公共预算财政拨款</w:t>
            </w:r>
          </w:p>
        </w:tc>
        <w:tc>
          <w:tcPr>
            <w:tcW w:w="1541"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政府性基金预算财政拨款</w:t>
            </w:r>
          </w:p>
        </w:tc>
        <w:tc>
          <w:tcPr>
            <w:tcW w:w="1519"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国有资本经营预算财政拨款</w:t>
            </w:r>
          </w:p>
        </w:tc>
      </w:tr>
      <w:tr w:rsidR="00B87C8A">
        <w:trPr>
          <w:trHeight w:val="615"/>
        </w:trPr>
        <w:tc>
          <w:tcPr>
            <w:tcW w:w="3102"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41"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19"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541"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51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一、一般公共预算财政拨款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r w:rsidRPr="00143480">
              <w:rPr>
                <w:color w:val="000000"/>
                <w:sz w:val="22"/>
              </w:rPr>
              <w:t>41,326.95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一、一般公共服务支出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92.88</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92.88</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二、政府性基金预算财政拨款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二、外交支出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三、国有资本经营财政拨款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三、国防支出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四、公共安全支出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五、教育支出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37</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43,446.28</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43,446.28</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六、科学技术支出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38</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306.50</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306.50</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七、文化旅游体育与传媒支出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39</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50.00</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50.00</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八、社会保障和就业支出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40</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19.38</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19.38</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九、卫生健康支出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41</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523.39</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523.39</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十、节能环保支出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42</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十一、城乡社区支出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十二、农林水支出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20.00</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20.00</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十三、交通运输支出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十四、资源勘探工业信息等支出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十五、商业服务业等支出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47</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十六、金融支出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48</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十七、援助其他地区支出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49</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十八、自然资源海洋气象等支出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50</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十九、住房保障支出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51</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二十、粮油物资储备支出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52</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二十一、国有资本经营预算支出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二十二、灾害防治及应急管理支出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二十三、其他支出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rPr>
                <w:b/>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二十四、债务还本支出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rsidTr="00BB7447">
        <w:trPr>
          <w:trHeight w:val="308"/>
        </w:trPr>
        <w:tc>
          <w:tcPr>
            <w:tcW w:w="3102" w:type="dxa"/>
            <w:tcBorders>
              <w:top w:val="nil"/>
              <w:left w:val="single" w:sz="4" w:space="0" w:color="000000"/>
              <w:bottom w:val="single" w:sz="4" w:space="0" w:color="auto"/>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auto"/>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25</w:t>
            </w:r>
          </w:p>
        </w:tc>
        <w:tc>
          <w:tcPr>
            <w:tcW w:w="1360" w:type="dxa"/>
            <w:tcBorders>
              <w:top w:val="nil"/>
              <w:left w:val="nil"/>
              <w:bottom w:val="single" w:sz="4" w:space="0" w:color="auto"/>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auto"/>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二十五、债务付息支出</w:t>
            </w:r>
          </w:p>
        </w:tc>
        <w:tc>
          <w:tcPr>
            <w:tcW w:w="800" w:type="dxa"/>
            <w:tcBorders>
              <w:top w:val="nil"/>
              <w:left w:val="nil"/>
              <w:bottom w:val="single" w:sz="4" w:space="0" w:color="auto"/>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57</w:t>
            </w:r>
          </w:p>
        </w:tc>
        <w:tc>
          <w:tcPr>
            <w:tcW w:w="1320"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rsidTr="00BB7447">
        <w:trPr>
          <w:trHeight w:val="308"/>
        </w:trPr>
        <w:tc>
          <w:tcPr>
            <w:tcW w:w="3102" w:type="dxa"/>
            <w:tcBorders>
              <w:top w:val="single" w:sz="4" w:space="0" w:color="auto"/>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26</w:t>
            </w:r>
          </w:p>
        </w:tc>
        <w:tc>
          <w:tcPr>
            <w:tcW w:w="1360" w:type="dxa"/>
            <w:tcBorders>
              <w:top w:val="single" w:sz="4" w:space="0" w:color="auto"/>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二十六、抗</w:t>
            </w:r>
            <w:proofErr w:type="gramStart"/>
            <w:r w:rsidRPr="00143480">
              <w:rPr>
                <w:color w:val="000000"/>
                <w:sz w:val="22"/>
              </w:rPr>
              <w:t>疫</w:t>
            </w:r>
            <w:proofErr w:type="gramEnd"/>
            <w:r w:rsidRPr="00143480">
              <w:rPr>
                <w:color w:val="000000"/>
                <w:sz w:val="22"/>
              </w:rPr>
              <w:t>特别国债安排的支出</w:t>
            </w:r>
          </w:p>
        </w:tc>
        <w:tc>
          <w:tcPr>
            <w:tcW w:w="80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58</w:t>
            </w:r>
          </w:p>
        </w:tc>
        <w:tc>
          <w:tcPr>
            <w:tcW w:w="1320"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本年收入合计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r w:rsidRPr="00143480">
              <w:rPr>
                <w:color w:val="000000"/>
                <w:sz w:val="22"/>
              </w:rPr>
              <w:t>41,326.95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本年支出合计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59</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44,458.42</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44,458.42</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年初财政拨款结转和结余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r w:rsidRPr="00143480">
              <w:rPr>
                <w:color w:val="000000"/>
                <w:sz w:val="22"/>
              </w:rPr>
              <w:t>17,655.15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年末财政拨款结转和结余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60</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14,523.68</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14,523.68</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 xml:space="preserve">  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r w:rsidRPr="00143480">
              <w:rPr>
                <w:color w:val="000000"/>
                <w:sz w:val="22"/>
              </w:rPr>
              <w:t>17,655.15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61</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 xml:space="preserve">  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62</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 xml:space="preserve">  国有资本经营预算财政拨款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总计</w:t>
            </w:r>
          </w:p>
        </w:tc>
        <w:tc>
          <w:tcPr>
            <w:tcW w:w="800" w:type="dxa"/>
            <w:tcBorders>
              <w:top w:val="nil"/>
              <w:left w:val="nil"/>
              <w:bottom w:val="single" w:sz="8"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r w:rsidRPr="00143480">
              <w:rPr>
                <w:color w:val="000000"/>
                <w:sz w:val="22"/>
              </w:rPr>
              <w:t>58,982.10</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总计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58,982.10</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58,982.10</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B87C8A">
        <w:trPr>
          <w:trHeight w:val="308"/>
        </w:trPr>
        <w:tc>
          <w:tcPr>
            <w:tcW w:w="15282" w:type="dxa"/>
            <w:gridSpan w:val="9"/>
            <w:vMerge w:val="restart"/>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注：本表反映部门本年度一般公共预算财政拨款、政府性基金预算财政拨款和国有资本经营预算财政拨款的总收支和年末结转结余情况。</w:t>
            </w:r>
          </w:p>
        </w:tc>
      </w:tr>
      <w:tr w:rsidR="00B87C8A">
        <w:trPr>
          <w:trHeight w:val="353"/>
        </w:trPr>
        <w:tc>
          <w:tcPr>
            <w:tcW w:w="15282" w:type="dxa"/>
            <w:gridSpan w:val="9"/>
            <w:vMerge/>
            <w:tcBorders>
              <w:top w:val="nil"/>
              <w:left w:val="nil"/>
              <w:bottom w:val="nil"/>
              <w:right w:val="nil"/>
              <w:tl2br w:val="nil"/>
              <w:tr2bl w:val="nil"/>
            </w:tcBorders>
            <w:noWrap/>
            <w:vAlign w:val="center"/>
          </w:tcPr>
          <w:p w:rsidR="00B87C8A" w:rsidRDefault="00B87C8A">
            <w:pPr>
              <w:rPr>
                <w:color w:val="000000"/>
                <w:sz w:val="22"/>
              </w:rPr>
            </w:pP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firstRow="1" w:lastRow="0" w:firstColumn="1" w:lastColumn="0" w:noHBand="0" w:noVBand="1"/>
      </w:tblPr>
      <w:tblGrid>
        <w:gridCol w:w="1614"/>
        <w:gridCol w:w="236"/>
        <w:gridCol w:w="723"/>
        <w:gridCol w:w="4196"/>
        <w:gridCol w:w="2538"/>
        <w:gridCol w:w="2458"/>
        <w:gridCol w:w="3517"/>
      </w:tblGrid>
      <w:tr w:rsidR="00B87C8A">
        <w:trPr>
          <w:trHeight w:val="384"/>
        </w:trPr>
        <w:tc>
          <w:tcPr>
            <w:tcW w:w="15282" w:type="dxa"/>
            <w:gridSpan w:val="7"/>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五、一般公共预算财政拨款支出决算表</w:t>
            </w:r>
          </w:p>
        </w:tc>
      </w:tr>
      <w:tr w:rsidR="00B87C8A" w:rsidTr="00143480">
        <w:trPr>
          <w:trHeight w:val="264"/>
        </w:trPr>
        <w:tc>
          <w:tcPr>
            <w:tcW w:w="161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72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41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53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45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517"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公开05表</w:t>
            </w:r>
          </w:p>
        </w:tc>
      </w:tr>
      <w:tr w:rsidR="00B87C8A" w:rsidTr="00143480">
        <w:trPr>
          <w:trHeight w:val="264"/>
        </w:trPr>
        <w:tc>
          <w:tcPr>
            <w:tcW w:w="1614" w:type="dxa"/>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72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41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53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45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517"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143480">
        <w:trPr>
          <w:trHeight w:val="308"/>
        </w:trPr>
        <w:tc>
          <w:tcPr>
            <w:tcW w:w="6769"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513"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本年支出</w:t>
            </w:r>
          </w:p>
        </w:tc>
      </w:tr>
      <w:tr w:rsidR="00B87C8A" w:rsidTr="00143480">
        <w:trPr>
          <w:trHeight w:val="308"/>
        </w:trPr>
        <w:tc>
          <w:tcPr>
            <w:tcW w:w="2573"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功能分类科目编码</w:t>
            </w:r>
          </w:p>
        </w:tc>
        <w:tc>
          <w:tcPr>
            <w:tcW w:w="419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科目名称</w:t>
            </w:r>
          </w:p>
        </w:tc>
        <w:tc>
          <w:tcPr>
            <w:tcW w:w="253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245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基本支出</w:t>
            </w:r>
          </w:p>
        </w:tc>
        <w:tc>
          <w:tcPr>
            <w:tcW w:w="3517"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项目支出</w:t>
            </w:r>
          </w:p>
        </w:tc>
      </w:tr>
      <w:tr w:rsidR="00B87C8A" w:rsidTr="00143480">
        <w:trPr>
          <w:trHeight w:val="285"/>
        </w:trPr>
        <w:tc>
          <w:tcPr>
            <w:tcW w:w="2573"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41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53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45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517"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143480">
        <w:trPr>
          <w:trHeight w:val="615"/>
        </w:trPr>
        <w:tc>
          <w:tcPr>
            <w:tcW w:w="2573"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41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53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45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517"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143480">
        <w:trPr>
          <w:trHeight w:val="308"/>
        </w:trPr>
        <w:tc>
          <w:tcPr>
            <w:tcW w:w="6769"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253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245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351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r>
      <w:tr w:rsidR="00483D14" w:rsidTr="00143480">
        <w:trPr>
          <w:trHeight w:val="308"/>
        </w:trPr>
        <w:tc>
          <w:tcPr>
            <w:tcW w:w="6769"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483D14" w:rsidRDefault="00483D14">
            <w:pPr>
              <w:jc w:val="center"/>
              <w:textAlignment w:val="center"/>
              <w:rPr>
                <w:color w:val="000000"/>
                <w:sz w:val="22"/>
              </w:rPr>
            </w:pPr>
            <w:r>
              <w:rPr>
                <w:color w:val="000000"/>
                <w:sz w:val="22"/>
              </w:rPr>
              <w:t>合计</w:t>
            </w:r>
          </w:p>
        </w:tc>
        <w:tc>
          <w:tcPr>
            <w:tcW w:w="2538" w:type="dxa"/>
            <w:tcBorders>
              <w:top w:val="nil"/>
              <w:left w:val="nil"/>
              <w:bottom w:val="single" w:sz="4" w:space="0" w:color="000000"/>
              <w:right w:val="single" w:sz="4" w:space="0" w:color="000000"/>
              <w:tl2br w:val="nil"/>
              <w:tr2bl w:val="nil"/>
            </w:tcBorders>
            <w:noWrap/>
            <w:vAlign w:val="center"/>
          </w:tcPr>
          <w:p w:rsidR="00483D14" w:rsidRPr="00483D14" w:rsidRDefault="00483D14" w:rsidP="00483D14">
            <w:pPr>
              <w:jc w:val="right"/>
              <w:textAlignment w:val="center"/>
              <w:rPr>
                <w:b/>
                <w:color w:val="000000"/>
                <w:sz w:val="22"/>
              </w:rPr>
            </w:pPr>
            <w:r w:rsidRPr="00483D14">
              <w:rPr>
                <w:rFonts w:hint="eastAsia"/>
                <w:b/>
                <w:color w:val="000000"/>
                <w:sz w:val="22"/>
              </w:rPr>
              <w:t>44,458.42</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b/>
                <w:bCs/>
                <w:color w:val="000000"/>
                <w:sz w:val="22"/>
                <w:szCs w:val="22"/>
              </w:rPr>
            </w:pPr>
            <w:r>
              <w:rPr>
                <w:rFonts w:hint="eastAsia"/>
                <w:b/>
                <w:bCs/>
                <w:color w:val="000000"/>
                <w:sz w:val="22"/>
                <w:szCs w:val="22"/>
              </w:rPr>
              <w:t>25,661.85</w:t>
            </w: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b/>
                <w:bCs/>
                <w:color w:val="000000"/>
                <w:sz w:val="22"/>
                <w:szCs w:val="22"/>
              </w:rPr>
            </w:pPr>
            <w:r>
              <w:rPr>
                <w:rFonts w:hint="eastAsia"/>
                <w:b/>
                <w:bCs/>
                <w:color w:val="000000"/>
                <w:sz w:val="22"/>
                <w:szCs w:val="22"/>
              </w:rPr>
              <w:t>18,796.57</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一般公共服务支出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92.88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92.88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20106</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财政事务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2.38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2.38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2010699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其他财政事务支出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2.38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2.38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20114</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知识产权事务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49.50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49.50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2011499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其他知识产权事务支出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49.50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49.50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20123</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民族事务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36.00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36.00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2012304</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民族工作专项</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36.00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36.00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20129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群众团体事务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2012902</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一般行政管理事务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205</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教育支出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43,446.28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25,661.85</w:t>
            </w: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17,784.42</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20502</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普通教育</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43,446.28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25,661.85</w:t>
            </w: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17,784.42</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2050205</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高等教育</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43,446.28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25,661.85</w:t>
            </w: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17,784.42</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科学技术支出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306.50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306.50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20602</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基础研究</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85.00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85.00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2060203</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自然科学基金</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85.00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85.00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20605</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科技条件与服务</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2060599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其他科技条件与服务支出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20606</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社会科学</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69.50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69.50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2060699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其他社会科学支出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69.50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69.50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20607</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科学技术普及</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2060799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其他科学技术普及支出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科技重大项目</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r>
      <w:tr w:rsidR="00483D14" w:rsidTr="00F46DBB">
        <w:trPr>
          <w:trHeight w:val="308"/>
        </w:trPr>
        <w:tc>
          <w:tcPr>
            <w:tcW w:w="2573" w:type="dxa"/>
            <w:gridSpan w:val="3"/>
            <w:tcBorders>
              <w:top w:val="nil"/>
              <w:left w:val="single" w:sz="4" w:space="0" w:color="000000"/>
              <w:bottom w:val="single" w:sz="4" w:space="0" w:color="auto"/>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2060902</w:t>
            </w:r>
          </w:p>
        </w:tc>
        <w:tc>
          <w:tcPr>
            <w:tcW w:w="4196" w:type="dxa"/>
            <w:tcBorders>
              <w:top w:val="nil"/>
              <w:left w:val="nil"/>
              <w:bottom w:val="single" w:sz="4" w:space="0" w:color="auto"/>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重点研发计划</w:t>
            </w:r>
          </w:p>
        </w:tc>
        <w:tc>
          <w:tcPr>
            <w:tcW w:w="2538" w:type="dxa"/>
            <w:tcBorders>
              <w:top w:val="nil"/>
              <w:left w:val="nil"/>
              <w:bottom w:val="single" w:sz="4" w:space="0" w:color="auto"/>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c>
          <w:tcPr>
            <w:tcW w:w="2458" w:type="dxa"/>
            <w:tcBorders>
              <w:top w:val="nil"/>
              <w:left w:val="nil"/>
              <w:bottom w:val="single" w:sz="4" w:space="0" w:color="auto"/>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auto"/>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r>
      <w:tr w:rsidR="00483D14" w:rsidTr="00F46DBB">
        <w:trPr>
          <w:trHeight w:val="308"/>
        </w:trPr>
        <w:tc>
          <w:tcPr>
            <w:tcW w:w="2573" w:type="dxa"/>
            <w:gridSpan w:val="3"/>
            <w:tcBorders>
              <w:top w:val="single" w:sz="4" w:space="0" w:color="auto"/>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lastRenderedPageBreak/>
              <w:t>20699</w:t>
            </w:r>
          </w:p>
        </w:tc>
        <w:tc>
          <w:tcPr>
            <w:tcW w:w="4196" w:type="dxa"/>
            <w:tcBorders>
              <w:top w:val="single" w:sz="4" w:space="0" w:color="auto"/>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其他科学技术支出</w:t>
            </w:r>
          </w:p>
        </w:tc>
        <w:tc>
          <w:tcPr>
            <w:tcW w:w="2538" w:type="dxa"/>
            <w:tcBorders>
              <w:top w:val="single" w:sz="4" w:space="0" w:color="auto"/>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40.00</w:t>
            </w:r>
          </w:p>
        </w:tc>
        <w:tc>
          <w:tcPr>
            <w:tcW w:w="2458" w:type="dxa"/>
            <w:tcBorders>
              <w:top w:val="single" w:sz="4" w:space="0" w:color="auto"/>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single" w:sz="4" w:space="0" w:color="auto"/>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2069999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其他科学技术支出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40.00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207</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文化旅游体育与传媒支出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20701</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文化和旅游</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2070111</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文化创作与保护</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208</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社会保障和就业支出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19.38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19.38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20807</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就业补助</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18.40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18.40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2080799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其他就业补助支出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18.40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18.40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20899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其他社会保障和就业支出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0.98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0.98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2089999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其他社会保障和就业支出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0.98</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0.98</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卫生健康支出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523.39</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523.39</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21004</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公共卫生</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519.39</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519.39</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2100499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其他公共卫生支出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519.39</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519.39</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21006</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中医药</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2100601</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中医（民族</w:t>
            </w:r>
            <w:proofErr w:type="gramStart"/>
            <w:r w:rsidRPr="00143480">
              <w:rPr>
                <w:color w:val="000000"/>
                <w:sz w:val="22"/>
              </w:rPr>
              <w:t>医</w:t>
            </w:r>
            <w:proofErr w:type="gramEnd"/>
            <w:r w:rsidRPr="00143480">
              <w:rPr>
                <w:color w:val="000000"/>
                <w:sz w:val="22"/>
              </w:rPr>
              <w:t>）药专项</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其他卫生健康支出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2109999</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其他卫生健康支出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213</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农林水支出</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21302</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林业和草原</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r>
      <w:tr w:rsidR="00483D14" w:rsidTr="00143480">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483D14" w:rsidRPr="00143480" w:rsidRDefault="00483D14" w:rsidP="00143480">
            <w:pPr>
              <w:textAlignment w:val="center"/>
              <w:rPr>
                <w:color w:val="000000"/>
                <w:sz w:val="22"/>
              </w:rPr>
            </w:pPr>
            <w:r w:rsidRPr="00143480">
              <w:rPr>
                <w:color w:val="000000"/>
                <w:sz w:val="22"/>
              </w:rPr>
              <w:t>2130211</w:t>
            </w:r>
          </w:p>
        </w:tc>
        <w:tc>
          <w:tcPr>
            <w:tcW w:w="4196" w:type="dxa"/>
            <w:tcBorders>
              <w:top w:val="nil"/>
              <w:left w:val="nil"/>
              <w:bottom w:val="single" w:sz="4" w:space="0" w:color="000000"/>
              <w:right w:val="single" w:sz="4" w:space="0" w:color="000000"/>
              <w:tl2br w:val="nil"/>
              <w:tr2bl w:val="nil"/>
            </w:tcBorders>
            <w:noWrap/>
            <w:vAlign w:val="center"/>
          </w:tcPr>
          <w:p w:rsidR="00483D14" w:rsidRPr="00143480" w:rsidRDefault="00483D14" w:rsidP="00483D14">
            <w:pPr>
              <w:ind w:firstLineChars="100" w:firstLine="220"/>
              <w:textAlignment w:val="center"/>
              <w:rPr>
                <w:color w:val="000000"/>
                <w:sz w:val="22"/>
              </w:rPr>
            </w:pPr>
            <w:r w:rsidRPr="00143480">
              <w:rPr>
                <w:color w:val="000000"/>
                <w:sz w:val="22"/>
              </w:rPr>
              <w:t>动植物保护</w:t>
            </w:r>
          </w:p>
        </w:tc>
        <w:tc>
          <w:tcPr>
            <w:tcW w:w="253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c>
          <w:tcPr>
            <w:tcW w:w="2458"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p>
        </w:tc>
        <w:tc>
          <w:tcPr>
            <w:tcW w:w="3517" w:type="dxa"/>
            <w:tcBorders>
              <w:top w:val="nil"/>
              <w:left w:val="nil"/>
              <w:bottom w:val="single" w:sz="4" w:space="0" w:color="000000"/>
              <w:right w:val="single" w:sz="4" w:space="0" w:color="000000"/>
              <w:tl2br w:val="nil"/>
              <w:tr2bl w:val="nil"/>
            </w:tcBorders>
            <w:noWrap/>
            <w:vAlign w:val="center"/>
          </w:tcPr>
          <w:p w:rsidR="00483D14" w:rsidRDefault="00483D14">
            <w:pPr>
              <w:jc w:val="right"/>
              <w:rPr>
                <w:color w:val="000000"/>
                <w:sz w:val="22"/>
                <w:szCs w:val="22"/>
              </w:rPr>
            </w:pPr>
            <w:r>
              <w:rPr>
                <w:rFonts w:hint="eastAsia"/>
                <w:color w:val="000000"/>
                <w:sz w:val="22"/>
                <w:szCs w:val="22"/>
              </w:rPr>
              <w:t>20.00</w:t>
            </w:r>
          </w:p>
        </w:tc>
      </w:tr>
      <w:tr w:rsidR="00B87C8A">
        <w:trPr>
          <w:trHeight w:val="308"/>
        </w:trPr>
        <w:tc>
          <w:tcPr>
            <w:tcW w:w="15282" w:type="dxa"/>
            <w:gridSpan w:val="7"/>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注：本表反映部门本年度一般公共预算财政拨款支出情况。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23320" w:type="dxa"/>
        <w:tblInd w:w="96" w:type="dxa"/>
        <w:tblLayout w:type="fixed"/>
        <w:tblLook w:val="04A0" w:firstRow="1" w:lastRow="0" w:firstColumn="1" w:lastColumn="0" w:noHBand="0" w:noVBand="1"/>
      </w:tblPr>
      <w:tblGrid>
        <w:gridCol w:w="1204"/>
        <w:gridCol w:w="2688"/>
        <w:gridCol w:w="1224"/>
        <w:gridCol w:w="1176"/>
        <w:gridCol w:w="2328"/>
        <w:gridCol w:w="1200"/>
        <w:gridCol w:w="1272"/>
        <w:gridCol w:w="2208"/>
        <w:gridCol w:w="1920"/>
        <w:gridCol w:w="1620"/>
        <w:gridCol w:w="1620"/>
        <w:gridCol w:w="1620"/>
        <w:gridCol w:w="1620"/>
        <w:gridCol w:w="1620"/>
      </w:tblGrid>
      <w:tr w:rsidR="00B87C8A" w:rsidTr="007A4732">
        <w:trPr>
          <w:gridAfter w:val="5"/>
          <w:wAfter w:w="8100" w:type="dxa"/>
          <w:trHeight w:val="384"/>
        </w:trPr>
        <w:tc>
          <w:tcPr>
            <w:tcW w:w="15220" w:type="dxa"/>
            <w:gridSpan w:val="9"/>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六、一般公共预算财政拨款基本支出决算</w:t>
            </w:r>
            <w:r w:rsidR="00FC2C8C">
              <w:rPr>
                <w:rFonts w:hint="eastAsia"/>
                <w:color w:val="000000"/>
                <w:sz w:val="30"/>
                <w:szCs w:val="30"/>
              </w:rPr>
              <w:t>明细</w:t>
            </w:r>
            <w:r>
              <w:rPr>
                <w:color w:val="000000"/>
                <w:sz w:val="30"/>
                <w:szCs w:val="30"/>
              </w:rPr>
              <w:t>表</w:t>
            </w:r>
          </w:p>
        </w:tc>
      </w:tr>
      <w:tr w:rsidR="00B87C8A" w:rsidTr="007A4732">
        <w:trPr>
          <w:gridAfter w:val="5"/>
          <w:wAfter w:w="8100" w:type="dxa"/>
          <w:trHeight w:val="90"/>
        </w:trPr>
        <w:tc>
          <w:tcPr>
            <w:tcW w:w="120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68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2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20"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公开06表</w:t>
            </w:r>
          </w:p>
        </w:tc>
      </w:tr>
      <w:tr w:rsidR="00B87C8A" w:rsidTr="007A4732">
        <w:trPr>
          <w:gridAfter w:val="5"/>
          <w:wAfter w:w="8100" w:type="dxa"/>
          <w:trHeight w:val="264"/>
        </w:trPr>
        <w:tc>
          <w:tcPr>
            <w:tcW w:w="3892" w:type="dxa"/>
            <w:gridSpan w:val="2"/>
            <w:tcBorders>
              <w:top w:val="nil"/>
              <w:left w:val="nil"/>
              <w:bottom w:val="nil"/>
              <w:right w:val="nil"/>
              <w:tl2br w:val="nil"/>
              <w:tr2bl w:val="nil"/>
            </w:tcBorders>
            <w:noWrap/>
            <w:vAlign w:val="bottom"/>
          </w:tcPr>
          <w:p w:rsidR="00B87C8A" w:rsidRDefault="002D1C8A">
            <w:pPr>
              <w:rPr>
                <w:rFonts w:ascii="Arial" w:hAnsi="Arial" w:cs="Arial"/>
                <w:color w:val="000000"/>
                <w:sz w:val="20"/>
                <w:szCs w:val="20"/>
              </w:rPr>
            </w:pPr>
            <w:r>
              <w:rPr>
                <w:color w:val="000000"/>
                <w:sz w:val="20"/>
                <w:szCs w:val="20"/>
              </w:rPr>
              <w:t>部门：吉首大学</w:t>
            </w:r>
          </w:p>
        </w:tc>
        <w:tc>
          <w:tcPr>
            <w:tcW w:w="122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20"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7A4732">
        <w:trPr>
          <w:gridAfter w:val="5"/>
          <w:wAfter w:w="8100" w:type="dxa"/>
          <w:trHeight w:val="308"/>
        </w:trPr>
        <w:tc>
          <w:tcPr>
            <w:tcW w:w="5116"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人员经费</w:t>
            </w:r>
          </w:p>
        </w:tc>
        <w:tc>
          <w:tcPr>
            <w:tcW w:w="10104"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abs>
                <w:tab w:val="left" w:pos="10116"/>
              </w:tabs>
              <w:jc w:val="center"/>
              <w:textAlignment w:val="center"/>
              <w:rPr>
                <w:color w:val="000000"/>
                <w:sz w:val="22"/>
              </w:rPr>
            </w:pPr>
            <w:r>
              <w:rPr>
                <w:color w:val="000000"/>
                <w:sz w:val="22"/>
              </w:rPr>
              <w:t>公用经费</w:t>
            </w:r>
          </w:p>
        </w:tc>
      </w:tr>
      <w:tr w:rsidR="00B87C8A" w:rsidTr="007A4732">
        <w:trPr>
          <w:gridAfter w:val="5"/>
          <w:wAfter w:w="8100" w:type="dxa"/>
          <w:trHeight w:val="308"/>
        </w:trPr>
        <w:tc>
          <w:tcPr>
            <w:tcW w:w="1204"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68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22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32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2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c>
          <w:tcPr>
            <w:tcW w:w="127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20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9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r>
      <w:tr w:rsidR="00B87C8A" w:rsidTr="007A4732">
        <w:trPr>
          <w:gridAfter w:val="5"/>
          <w:wAfter w:w="8100" w:type="dxa"/>
          <w:trHeight w:val="308"/>
        </w:trPr>
        <w:tc>
          <w:tcPr>
            <w:tcW w:w="1204"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68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2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3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7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20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9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Default="007A4732" w:rsidP="000300E3">
            <w:pPr>
              <w:textAlignment w:val="center"/>
              <w:rPr>
                <w:color w:val="000000"/>
                <w:sz w:val="22"/>
                <w:szCs w:val="22"/>
              </w:rPr>
            </w:pPr>
            <w:r w:rsidRPr="000300E3">
              <w:rPr>
                <w:rFonts w:hint="eastAsia"/>
                <w:color w:val="000000"/>
                <w:sz w:val="22"/>
              </w:rPr>
              <w:t>23,099.89</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4A4DC4">
            <w:pPr>
              <w:textAlignment w:val="center"/>
              <w:rPr>
                <w:color w:val="000000"/>
                <w:sz w:val="22"/>
              </w:rPr>
            </w:pPr>
            <w:r w:rsidRPr="004A4DC4">
              <w:rPr>
                <w:rFonts w:hint="eastAsia"/>
                <w:color w:val="000000"/>
                <w:sz w:val="22"/>
              </w:rPr>
              <w:t>1,774.11</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债务利息及费用支出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基本工资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6,159.80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办公费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180.63</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30701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国内债务付息</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津贴补贴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525.02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印刷费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91.65</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30702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国外债务付息</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奖金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咨询费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资本性支出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30106</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伙食补助费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22.82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手续费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0.03</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房屋建筑物购建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30107</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绩效工资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10,768.22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水费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76.00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办公设备购置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30108</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机关事业单位基本养老保险缴费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3,200.00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492.00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31003</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专用设备购置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职业年金缴费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邮电费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15.70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31005</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基础设施建设</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30110</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职工基本医疗保险缴费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取暖费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31006</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大型修缮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公务员医疗补助缴费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物业管理费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196.37</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信息网络及软件购置更新</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其他社会保障缴费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差旅费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80.00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31008</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物资储备</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住房公积金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2,115.00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因公出国（境）费用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土地补偿</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30114</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医疗费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维修（护）费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31010</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安置补助</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30199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309.03</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租赁费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地上附着物和青苗补偿</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787.85</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会议费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拆迁补偿</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离休费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14.66</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培训费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31013</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公务用车购置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30302</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退休费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公务接待费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25.26</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其他交通工具购置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30303</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退职（役）费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专用材料费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400.00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31021</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文物和陈列品购置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30304</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抚恤金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7.22</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被装购置费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31022</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无形资产购置</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30305</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生活补助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760.88</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专用燃料费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其他资本性支出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30306</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救济费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劳务费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60.69</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其他支出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30307</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医疗费补助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5.08</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委托业务费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129.92</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39907</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国家赔偿费用支出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30308</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助学金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工会经费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39908</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对民间非营利组织和群众性自治组织补</w:t>
            </w:r>
            <w:r>
              <w:rPr>
                <w:color w:val="000000"/>
                <w:sz w:val="22"/>
              </w:rPr>
              <w:lastRenderedPageBreak/>
              <w:t>贴</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lastRenderedPageBreak/>
              <w:t>30309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奖励金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福利费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rFonts w:hint="eastAsia"/>
                <w:color w:val="000000"/>
                <w:sz w:val="22"/>
              </w:rPr>
              <w:t>39909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Pr="00F3533C" w:rsidRDefault="007A4732" w:rsidP="00F3533C">
            <w:pPr>
              <w:rPr>
                <w:color w:val="000000"/>
                <w:sz w:val="22"/>
                <w:szCs w:val="22"/>
              </w:rPr>
            </w:pPr>
            <w:r>
              <w:rPr>
                <w:rFonts w:hint="eastAsia"/>
                <w:color w:val="000000"/>
                <w:sz w:val="22"/>
                <w:szCs w:val="22"/>
              </w:rPr>
              <w:t xml:space="preserve">  经常性赠与</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30310</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个人农业生产补贴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30231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公务用车运行维护费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r>
              <w:rPr>
                <w:rFonts w:hint="eastAsia"/>
                <w:color w:val="000000"/>
                <w:sz w:val="22"/>
              </w:rPr>
              <w:t>39910</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rsidP="00F3533C">
            <w:pPr>
              <w:ind w:firstLineChars="100" w:firstLine="220"/>
              <w:rPr>
                <w:color w:val="000000"/>
                <w:sz w:val="22"/>
              </w:rPr>
            </w:pPr>
            <w:r>
              <w:rPr>
                <w:rFonts w:hint="eastAsia"/>
                <w:color w:val="000000"/>
                <w:sz w:val="22"/>
              </w:rPr>
              <w:t>资本性赠与</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30311</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代缴社会保险费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30239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其他交通费用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19.96</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rsidP="007479CE">
            <w:pPr>
              <w:textAlignment w:val="center"/>
              <w:rPr>
                <w:color w:val="000000"/>
                <w:sz w:val="22"/>
              </w:rPr>
            </w:pPr>
            <w:r>
              <w:rPr>
                <w:color w:val="000000"/>
                <w:sz w:val="22"/>
              </w:rPr>
              <w:t>39999</w:t>
            </w: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rsidP="007479CE">
            <w:pPr>
              <w:textAlignment w:val="center"/>
              <w:rPr>
                <w:color w:val="000000"/>
                <w:sz w:val="22"/>
              </w:rPr>
            </w:pPr>
            <w:r>
              <w:rPr>
                <w:color w:val="000000"/>
                <w:sz w:val="22"/>
              </w:rPr>
              <w:t xml:space="preserve">  其他支出</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30399</w:t>
            </w: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30240</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税金及附加费用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r w:rsidRPr="004A4DC4">
              <w:rPr>
                <w:rFonts w:hint="eastAsia"/>
                <w:color w:val="000000"/>
                <w:sz w:val="22"/>
              </w:rPr>
              <w:t xml:space="preserve">　</w:t>
            </w:r>
          </w:p>
        </w:tc>
      </w:tr>
      <w:tr w:rsidR="007A4732" w:rsidTr="007A4732">
        <w:trPr>
          <w:gridAfter w:val="5"/>
          <w:wAfter w:w="8100" w:type="dxa"/>
          <w:trHeight w:val="308"/>
        </w:trPr>
        <w:tc>
          <w:tcPr>
            <w:tcW w:w="1204"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68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 xml:space="preserve">　</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30299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5.91</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20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r w:rsidRPr="004A4DC4">
              <w:rPr>
                <w:rFonts w:hint="eastAsia"/>
                <w:color w:val="000000"/>
                <w:sz w:val="22"/>
              </w:rPr>
              <w:t xml:space="preserve">　</w:t>
            </w:r>
          </w:p>
        </w:tc>
      </w:tr>
      <w:tr w:rsidR="007A4732" w:rsidTr="007A4732">
        <w:trPr>
          <w:trHeight w:val="308"/>
        </w:trPr>
        <w:tc>
          <w:tcPr>
            <w:tcW w:w="3892" w:type="dxa"/>
            <w:gridSpan w:val="2"/>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人员经费合计</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23,887.74</w:t>
            </w:r>
          </w:p>
        </w:tc>
        <w:tc>
          <w:tcPr>
            <w:tcW w:w="8184" w:type="dxa"/>
            <w:gridSpan w:val="5"/>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rsidP="007A4732">
            <w:pPr>
              <w:textAlignment w:val="center"/>
              <w:rPr>
                <w:color w:val="000000"/>
                <w:sz w:val="22"/>
                <w:szCs w:val="22"/>
              </w:rPr>
            </w:pPr>
            <w:r w:rsidRPr="007A4732">
              <w:rPr>
                <w:rFonts w:hint="eastAsia"/>
                <w:color w:val="000000"/>
                <w:sz w:val="22"/>
              </w:rPr>
              <w:t>公用经费合计</w:t>
            </w:r>
          </w:p>
        </w:tc>
        <w:tc>
          <w:tcPr>
            <w:tcW w:w="1920"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r w:rsidRPr="004A4DC4">
              <w:rPr>
                <w:rFonts w:hint="eastAsia"/>
                <w:color w:val="000000"/>
                <w:sz w:val="22"/>
              </w:rPr>
              <w:t>1,774.11</w:t>
            </w:r>
          </w:p>
        </w:tc>
        <w:tc>
          <w:tcPr>
            <w:tcW w:w="1620" w:type="dxa"/>
          </w:tcPr>
          <w:p w:rsidR="007A4732" w:rsidRDefault="007A4732"/>
        </w:tc>
        <w:tc>
          <w:tcPr>
            <w:tcW w:w="1620" w:type="dxa"/>
          </w:tcPr>
          <w:p w:rsidR="007A4732" w:rsidRDefault="007A4732"/>
        </w:tc>
        <w:tc>
          <w:tcPr>
            <w:tcW w:w="1620" w:type="dxa"/>
          </w:tcPr>
          <w:p w:rsidR="007A4732" w:rsidRDefault="007A4732"/>
        </w:tc>
        <w:tc>
          <w:tcPr>
            <w:tcW w:w="1620" w:type="dxa"/>
          </w:tcPr>
          <w:p w:rsidR="007A4732" w:rsidRDefault="007A4732"/>
        </w:tc>
        <w:tc>
          <w:tcPr>
            <w:tcW w:w="1620" w:type="dxa"/>
            <w:vAlign w:val="center"/>
          </w:tcPr>
          <w:p w:rsidR="007A4732" w:rsidRDefault="007A4732">
            <w:pPr>
              <w:jc w:val="right"/>
              <w:rPr>
                <w:color w:val="000000"/>
                <w:sz w:val="22"/>
                <w:szCs w:val="22"/>
              </w:rPr>
            </w:pPr>
            <w:r>
              <w:rPr>
                <w:rFonts w:hint="eastAsia"/>
                <w:color w:val="000000"/>
                <w:sz w:val="22"/>
                <w:szCs w:val="22"/>
              </w:rPr>
              <w:t>1,774.11</w:t>
            </w:r>
          </w:p>
        </w:tc>
      </w:tr>
    </w:tbl>
    <w:p w:rsidR="00FD5607" w:rsidRDefault="00FD5607">
      <w:pPr>
        <w:textAlignment w:val="center"/>
        <w:rPr>
          <w:color w:val="000000"/>
          <w:sz w:val="22"/>
        </w:rPr>
        <w:sectPr w:rsidR="00FD5607">
          <w:pgSz w:w="16838" w:h="11906" w:orient="landscape"/>
          <w:pgMar w:top="720" w:right="873" w:bottom="720" w:left="720" w:header="720" w:footer="720" w:gutter="0"/>
          <w:cols w:space="720"/>
        </w:sectPr>
      </w:pPr>
    </w:p>
    <w:tbl>
      <w:tblPr>
        <w:tblW w:w="15365" w:type="dxa"/>
        <w:tblInd w:w="96" w:type="dxa"/>
        <w:tblLook w:val="04A0" w:firstRow="1" w:lastRow="0" w:firstColumn="1" w:lastColumn="0" w:noHBand="0" w:noVBand="1"/>
      </w:tblPr>
      <w:tblGrid>
        <w:gridCol w:w="1675"/>
        <w:gridCol w:w="231"/>
        <w:gridCol w:w="231"/>
        <w:gridCol w:w="2835"/>
        <w:gridCol w:w="1923"/>
        <w:gridCol w:w="1543"/>
        <w:gridCol w:w="1733"/>
        <w:gridCol w:w="1733"/>
        <w:gridCol w:w="1733"/>
        <w:gridCol w:w="1728"/>
      </w:tblGrid>
      <w:tr w:rsidR="00FD5607" w:rsidTr="00FD5607">
        <w:trPr>
          <w:trHeight w:val="384"/>
        </w:trPr>
        <w:tc>
          <w:tcPr>
            <w:tcW w:w="15365" w:type="dxa"/>
            <w:gridSpan w:val="10"/>
            <w:tcBorders>
              <w:top w:val="nil"/>
              <w:left w:val="nil"/>
              <w:bottom w:val="nil"/>
              <w:right w:val="nil"/>
              <w:tl2br w:val="nil"/>
              <w:tr2bl w:val="nil"/>
            </w:tcBorders>
            <w:noWrap/>
            <w:vAlign w:val="bottom"/>
          </w:tcPr>
          <w:p w:rsidR="00FD5607" w:rsidRDefault="00FD5607" w:rsidP="007479CE">
            <w:pPr>
              <w:jc w:val="center"/>
              <w:textAlignment w:val="bottom"/>
              <w:rPr>
                <w:color w:val="000000"/>
                <w:sz w:val="30"/>
                <w:szCs w:val="30"/>
              </w:rPr>
            </w:pPr>
            <w:r>
              <w:rPr>
                <w:rFonts w:hint="eastAsia"/>
                <w:color w:val="000000"/>
                <w:sz w:val="30"/>
                <w:szCs w:val="30"/>
              </w:rPr>
              <w:lastRenderedPageBreak/>
              <w:t>七</w:t>
            </w:r>
            <w:r>
              <w:rPr>
                <w:color w:val="000000"/>
                <w:sz w:val="30"/>
                <w:szCs w:val="30"/>
              </w:rPr>
              <w:t>、政府性基金预算财政拨款收入支出决算表</w:t>
            </w:r>
          </w:p>
        </w:tc>
      </w:tr>
      <w:tr w:rsidR="00FD5607" w:rsidTr="00FD5607">
        <w:trPr>
          <w:trHeight w:val="264"/>
        </w:trPr>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926"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545"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731" w:type="dxa"/>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公开08表</w:t>
            </w:r>
          </w:p>
        </w:tc>
      </w:tr>
      <w:tr w:rsidR="00FD5607" w:rsidTr="00FD5607">
        <w:trPr>
          <w:trHeight w:val="264"/>
        </w:trPr>
        <w:tc>
          <w:tcPr>
            <w:tcW w:w="0" w:type="auto"/>
            <w:tcBorders>
              <w:top w:val="nil"/>
              <w:left w:val="nil"/>
              <w:bottom w:val="nil"/>
              <w:right w:val="nil"/>
              <w:tl2br w:val="nil"/>
              <w:tr2bl w:val="nil"/>
            </w:tcBorders>
            <w:noWrap/>
            <w:vAlign w:val="bottom"/>
          </w:tcPr>
          <w:p w:rsidR="00FD5607" w:rsidRDefault="00FD5607" w:rsidP="007479CE">
            <w:pPr>
              <w:textAlignment w:val="bottom"/>
              <w:rPr>
                <w:color w:val="000000"/>
                <w:sz w:val="20"/>
                <w:szCs w:val="20"/>
              </w:rPr>
            </w:pPr>
            <w:r>
              <w:rPr>
                <w:color w:val="000000"/>
                <w:sz w:val="20"/>
                <w:szCs w:val="20"/>
              </w:rPr>
              <w:t>部门：吉首大学</w:t>
            </w: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926"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545"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731" w:type="dxa"/>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金额单位：万元</w:t>
            </w:r>
          </w:p>
        </w:tc>
      </w:tr>
      <w:tr w:rsidR="00FD5607" w:rsidTr="00FD5607">
        <w:trPr>
          <w:trHeight w:val="308"/>
        </w:trPr>
        <w:tc>
          <w:tcPr>
            <w:tcW w:w="4955"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     目</w:t>
            </w:r>
          </w:p>
        </w:tc>
        <w:tc>
          <w:tcPr>
            <w:tcW w:w="1926"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年初结转和结余</w:t>
            </w:r>
          </w:p>
        </w:tc>
        <w:tc>
          <w:tcPr>
            <w:tcW w:w="1545"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本年收入</w:t>
            </w:r>
          </w:p>
        </w:tc>
        <w:tc>
          <w:tcPr>
            <w:tcW w:w="5208"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本年支出</w:t>
            </w:r>
          </w:p>
        </w:tc>
        <w:tc>
          <w:tcPr>
            <w:tcW w:w="1731"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年末结转和结余</w:t>
            </w:r>
          </w:p>
        </w:tc>
      </w:tr>
      <w:tr w:rsidR="00FD5607" w:rsidTr="00FD5607">
        <w:trPr>
          <w:trHeight w:val="848"/>
        </w:trPr>
        <w:tc>
          <w:tcPr>
            <w:tcW w:w="2150"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功能分类科目编码</w:t>
            </w:r>
          </w:p>
        </w:tc>
        <w:tc>
          <w:tcPr>
            <w:tcW w:w="2805"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科目名称</w:t>
            </w:r>
          </w:p>
        </w:tc>
        <w:tc>
          <w:tcPr>
            <w:tcW w:w="192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1545"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小计</w:t>
            </w: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基本支出</w:t>
            </w: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项目支出</w:t>
            </w:r>
          </w:p>
        </w:tc>
        <w:tc>
          <w:tcPr>
            <w:tcW w:w="1731"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08"/>
        </w:trPr>
        <w:tc>
          <w:tcPr>
            <w:tcW w:w="4955"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栏  次</w:t>
            </w:r>
          </w:p>
        </w:tc>
        <w:tc>
          <w:tcPr>
            <w:tcW w:w="192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1</w:t>
            </w:r>
          </w:p>
        </w:tc>
        <w:tc>
          <w:tcPr>
            <w:tcW w:w="1545"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2</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3</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4</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5</w:t>
            </w:r>
          </w:p>
        </w:tc>
        <w:tc>
          <w:tcPr>
            <w:tcW w:w="1731"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6</w:t>
            </w:r>
          </w:p>
        </w:tc>
      </w:tr>
      <w:tr w:rsidR="00FD5607" w:rsidTr="00FD5607">
        <w:trPr>
          <w:trHeight w:val="308"/>
        </w:trPr>
        <w:tc>
          <w:tcPr>
            <w:tcW w:w="4955"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  计</w:t>
            </w: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15365" w:type="dxa"/>
            <w:gridSpan w:val="10"/>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注：本表反映部门本年度政府性基金预算财政拨款收入、支出及结转和结余情况。</w:t>
            </w:r>
          </w:p>
          <w:p w:rsidR="00FD5607" w:rsidRDefault="00FD5607" w:rsidP="007479CE">
            <w:pPr>
              <w:textAlignment w:val="center"/>
              <w:rPr>
                <w:color w:val="000000"/>
                <w:sz w:val="22"/>
              </w:rPr>
            </w:pPr>
          </w:p>
        </w:tc>
      </w:tr>
      <w:tr w:rsidR="00FD5607" w:rsidTr="00FD5607">
        <w:trPr>
          <w:trHeight w:val="308"/>
        </w:trPr>
        <w:tc>
          <w:tcPr>
            <w:tcW w:w="15365" w:type="dxa"/>
            <w:gridSpan w:val="10"/>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说明：我单位没有政府性基金收入，也没有使用政府性基金安排的支出，故本表无数据。</w:t>
            </w:r>
          </w:p>
        </w:tc>
      </w:tr>
    </w:tbl>
    <w:p w:rsidR="00FD5607" w:rsidRDefault="00FD5607">
      <w:pPr>
        <w:textAlignment w:val="center"/>
        <w:rPr>
          <w:color w:val="000000"/>
          <w:sz w:val="22"/>
        </w:rPr>
        <w:sectPr w:rsidR="00FD5607">
          <w:pgSz w:w="16838" w:h="11906" w:orient="landscape"/>
          <w:pgMar w:top="720" w:right="873" w:bottom="720" w:left="720" w:header="720" w:footer="720" w:gutter="0"/>
          <w:cols w:space="720"/>
        </w:sectPr>
      </w:pPr>
    </w:p>
    <w:tbl>
      <w:tblPr>
        <w:tblW w:w="15292" w:type="dxa"/>
        <w:tblInd w:w="96" w:type="dxa"/>
        <w:tblLayout w:type="fixed"/>
        <w:tblLook w:val="04A0" w:firstRow="1" w:lastRow="0" w:firstColumn="1" w:lastColumn="0" w:noHBand="0" w:noVBand="1"/>
      </w:tblPr>
      <w:tblGrid>
        <w:gridCol w:w="2328"/>
        <w:gridCol w:w="319"/>
        <w:gridCol w:w="319"/>
        <w:gridCol w:w="3554"/>
        <w:gridCol w:w="2748"/>
        <w:gridCol w:w="2664"/>
        <w:gridCol w:w="1728"/>
        <w:gridCol w:w="1632"/>
      </w:tblGrid>
      <w:tr w:rsidR="00FD5607" w:rsidTr="00FD5607">
        <w:trPr>
          <w:trHeight w:val="384"/>
        </w:trPr>
        <w:tc>
          <w:tcPr>
            <w:tcW w:w="15292" w:type="dxa"/>
            <w:gridSpan w:val="8"/>
            <w:tcBorders>
              <w:top w:val="nil"/>
              <w:left w:val="nil"/>
              <w:bottom w:val="nil"/>
              <w:right w:val="nil"/>
              <w:tl2br w:val="nil"/>
              <w:tr2bl w:val="nil"/>
            </w:tcBorders>
            <w:noWrap/>
            <w:vAlign w:val="bottom"/>
          </w:tcPr>
          <w:p w:rsidR="00FD5607" w:rsidRDefault="00FD5607" w:rsidP="007479CE">
            <w:pPr>
              <w:jc w:val="center"/>
              <w:textAlignment w:val="bottom"/>
              <w:rPr>
                <w:color w:val="000000"/>
                <w:sz w:val="30"/>
                <w:szCs w:val="30"/>
              </w:rPr>
            </w:pPr>
            <w:r>
              <w:rPr>
                <w:rFonts w:hint="eastAsia"/>
                <w:color w:val="000000"/>
                <w:sz w:val="30"/>
                <w:szCs w:val="30"/>
              </w:rPr>
              <w:lastRenderedPageBreak/>
              <w:t>八</w:t>
            </w:r>
            <w:r>
              <w:rPr>
                <w:color w:val="000000"/>
                <w:sz w:val="30"/>
                <w:szCs w:val="30"/>
              </w:rPr>
              <w:t>、国有资本经营预算财政拨款支出决算表</w:t>
            </w:r>
          </w:p>
        </w:tc>
      </w:tr>
      <w:tr w:rsidR="00FD5607" w:rsidTr="00FD5607">
        <w:trPr>
          <w:trHeight w:val="264"/>
        </w:trPr>
        <w:tc>
          <w:tcPr>
            <w:tcW w:w="232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55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74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66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360" w:type="dxa"/>
            <w:gridSpan w:val="2"/>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公开09表</w:t>
            </w:r>
          </w:p>
        </w:tc>
      </w:tr>
      <w:tr w:rsidR="00FD5607" w:rsidTr="00FD5607">
        <w:trPr>
          <w:trHeight w:val="264"/>
        </w:trPr>
        <w:tc>
          <w:tcPr>
            <w:tcW w:w="2328" w:type="dxa"/>
            <w:tcBorders>
              <w:top w:val="nil"/>
              <w:left w:val="nil"/>
              <w:bottom w:val="nil"/>
              <w:right w:val="nil"/>
              <w:tl2br w:val="nil"/>
              <w:tr2bl w:val="nil"/>
            </w:tcBorders>
            <w:noWrap/>
            <w:vAlign w:val="bottom"/>
          </w:tcPr>
          <w:p w:rsidR="00FD5607" w:rsidRDefault="00FD5607" w:rsidP="007479CE">
            <w:pPr>
              <w:textAlignment w:val="bottom"/>
              <w:rPr>
                <w:color w:val="000000"/>
                <w:sz w:val="20"/>
                <w:szCs w:val="20"/>
              </w:rPr>
            </w:pPr>
            <w:r>
              <w:rPr>
                <w:color w:val="000000"/>
                <w:sz w:val="20"/>
                <w:szCs w:val="20"/>
              </w:rPr>
              <w:t>部门：吉首大学</w:t>
            </w: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55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74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66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360" w:type="dxa"/>
            <w:gridSpan w:val="2"/>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金额单位：万元</w:t>
            </w:r>
          </w:p>
        </w:tc>
      </w:tr>
      <w:tr w:rsidR="00FD5607" w:rsidTr="00FD5607">
        <w:trPr>
          <w:trHeight w:val="417"/>
        </w:trPr>
        <w:tc>
          <w:tcPr>
            <w:tcW w:w="652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w:t>
            </w:r>
          </w:p>
        </w:tc>
        <w:tc>
          <w:tcPr>
            <w:tcW w:w="8772" w:type="dxa"/>
            <w:gridSpan w:val="4"/>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本年支出</w:t>
            </w:r>
          </w:p>
        </w:tc>
      </w:tr>
      <w:tr w:rsidR="00FD5607" w:rsidTr="00FD5607">
        <w:trPr>
          <w:trHeight w:val="308"/>
        </w:trPr>
        <w:tc>
          <w:tcPr>
            <w:tcW w:w="2966"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功能分类科目编码</w:t>
            </w:r>
          </w:p>
        </w:tc>
        <w:tc>
          <w:tcPr>
            <w:tcW w:w="355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科目名称</w:t>
            </w:r>
          </w:p>
        </w:tc>
        <w:tc>
          <w:tcPr>
            <w:tcW w:w="274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合计</w:t>
            </w:r>
          </w:p>
        </w:tc>
        <w:tc>
          <w:tcPr>
            <w:tcW w:w="266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基本支出</w:t>
            </w:r>
          </w:p>
        </w:tc>
        <w:tc>
          <w:tcPr>
            <w:tcW w:w="3360"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项目支出</w:t>
            </w:r>
          </w:p>
        </w:tc>
      </w:tr>
      <w:tr w:rsidR="00FD5607" w:rsidTr="00FD5607">
        <w:trPr>
          <w:trHeight w:val="308"/>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360"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15"/>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360"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bottom"/>
          </w:tcPr>
          <w:p w:rsidR="00FD5607" w:rsidRDefault="00FD5607" w:rsidP="007479CE">
            <w:pPr>
              <w:jc w:val="center"/>
              <w:textAlignment w:val="bottom"/>
              <w:rPr>
                <w:color w:val="000000"/>
                <w:sz w:val="22"/>
              </w:rPr>
            </w:pPr>
            <w:r>
              <w:rPr>
                <w:color w:val="000000"/>
                <w:sz w:val="22"/>
              </w:rPr>
              <w:t>栏次</w:t>
            </w:r>
          </w:p>
        </w:tc>
        <w:tc>
          <w:tcPr>
            <w:tcW w:w="2748"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3</w:t>
            </w:r>
          </w:p>
        </w:tc>
        <w:tc>
          <w:tcPr>
            <w:tcW w:w="2664"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0"/>
                <w:szCs w:val="20"/>
              </w:rPr>
            </w:pPr>
          </w:p>
        </w:tc>
      </w:tr>
      <w:tr w:rsidR="00FD5607" w:rsidTr="00FD5607">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合计</w:t>
            </w: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9268" w:type="dxa"/>
            <w:gridSpan w:val="5"/>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注：本表反映部门本年度国有资本经营预算财政拨款收入、支出及结转和结余情况。</w:t>
            </w:r>
          </w:p>
        </w:tc>
        <w:tc>
          <w:tcPr>
            <w:tcW w:w="2664" w:type="dxa"/>
            <w:tcBorders>
              <w:top w:val="nil"/>
              <w:left w:val="nil"/>
              <w:bottom w:val="nil"/>
              <w:right w:val="nil"/>
              <w:tl2br w:val="nil"/>
              <w:tr2bl w:val="nil"/>
            </w:tcBorders>
            <w:noWrap/>
            <w:vAlign w:val="center"/>
          </w:tcPr>
          <w:p w:rsidR="00FD5607" w:rsidRDefault="00FD5607" w:rsidP="007479CE">
            <w:pPr>
              <w:rPr>
                <w:color w:val="000000"/>
                <w:sz w:val="20"/>
                <w:szCs w:val="20"/>
              </w:rPr>
            </w:pPr>
          </w:p>
        </w:tc>
        <w:tc>
          <w:tcPr>
            <w:tcW w:w="3360" w:type="dxa"/>
            <w:gridSpan w:val="2"/>
            <w:tcBorders>
              <w:top w:val="nil"/>
              <w:left w:val="nil"/>
              <w:bottom w:val="nil"/>
              <w:right w:val="nil"/>
              <w:tl2br w:val="nil"/>
              <w:tr2bl w:val="nil"/>
            </w:tcBorders>
            <w:noWrap/>
            <w:vAlign w:val="center"/>
          </w:tcPr>
          <w:p w:rsidR="00FD5607" w:rsidRDefault="00FD5607" w:rsidP="007479CE">
            <w:pPr>
              <w:rPr>
                <w:color w:val="000000"/>
                <w:sz w:val="20"/>
                <w:szCs w:val="20"/>
              </w:rPr>
            </w:pPr>
          </w:p>
        </w:tc>
      </w:tr>
      <w:tr w:rsidR="00FD5607" w:rsidTr="00FD5607">
        <w:trPr>
          <w:trHeight w:val="308"/>
        </w:trPr>
        <w:tc>
          <w:tcPr>
            <w:tcW w:w="2328" w:type="dxa"/>
            <w:tcBorders>
              <w:top w:val="nil"/>
              <w:left w:val="nil"/>
              <w:bottom w:val="nil"/>
              <w:right w:val="nil"/>
              <w:tl2br w:val="nil"/>
              <w:tr2bl w:val="nil"/>
            </w:tcBorders>
            <w:noWrap/>
            <w:vAlign w:val="center"/>
          </w:tcPr>
          <w:p w:rsidR="00FD5607" w:rsidRDefault="00FD5607" w:rsidP="007479CE">
            <w:pPr>
              <w:rPr>
                <w:color w:val="000000"/>
                <w:sz w:val="22"/>
              </w:rPr>
            </w:pPr>
          </w:p>
        </w:tc>
        <w:tc>
          <w:tcPr>
            <w:tcW w:w="6940" w:type="dxa"/>
            <w:gridSpan w:val="4"/>
            <w:tcBorders>
              <w:top w:val="nil"/>
              <w:left w:val="nil"/>
              <w:bottom w:val="nil"/>
              <w:right w:val="nil"/>
              <w:tl2br w:val="nil"/>
              <w:tr2bl w:val="nil"/>
            </w:tcBorders>
            <w:noWrap/>
            <w:vAlign w:val="center"/>
          </w:tcPr>
          <w:p w:rsidR="00FD5607" w:rsidRDefault="00FD5607" w:rsidP="007479CE">
            <w:pPr>
              <w:rPr>
                <w:color w:val="000000"/>
                <w:sz w:val="22"/>
              </w:rPr>
            </w:pPr>
          </w:p>
        </w:tc>
        <w:tc>
          <w:tcPr>
            <w:tcW w:w="2664" w:type="dxa"/>
            <w:tcBorders>
              <w:top w:val="nil"/>
              <w:left w:val="nil"/>
              <w:bottom w:val="nil"/>
              <w:right w:val="nil"/>
              <w:tl2br w:val="nil"/>
              <w:tr2bl w:val="nil"/>
            </w:tcBorders>
            <w:noWrap/>
            <w:vAlign w:val="center"/>
          </w:tcPr>
          <w:p w:rsidR="00FD5607" w:rsidRDefault="00FD5607" w:rsidP="007479CE">
            <w:pPr>
              <w:rPr>
                <w:color w:val="000000"/>
                <w:sz w:val="20"/>
                <w:szCs w:val="20"/>
              </w:rPr>
            </w:pPr>
          </w:p>
        </w:tc>
        <w:tc>
          <w:tcPr>
            <w:tcW w:w="3360" w:type="dxa"/>
            <w:gridSpan w:val="2"/>
            <w:tcBorders>
              <w:top w:val="nil"/>
              <w:left w:val="nil"/>
              <w:bottom w:val="nil"/>
              <w:right w:val="nil"/>
              <w:tl2br w:val="nil"/>
              <w:tr2bl w:val="nil"/>
            </w:tcBorders>
            <w:noWrap/>
            <w:vAlign w:val="center"/>
          </w:tcPr>
          <w:p w:rsidR="00FD5607" w:rsidRDefault="00FD5607" w:rsidP="007479CE">
            <w:pPr>
              <w:rPr>
                <w:color w:val="000000"/>
                <w:sz w:val="20"/>
                <w:szCs w:val="20"/>
              </w:rPr>
            </w:pPr>
          </w:p>
        </w:tc>
      </w:tr>
      <w:tr w:rsidR="00FD5607" w:rsidTr="00FD5607">
        <w:trPr>
          <w:trHeight w:val="308"/>
        </w:trPr>
        <w:tc>
          <w:tcPr>
            <w:tcW w:w="15292" w:type="dxa"/>
            <w:gridSpan w:val="8"/>
            <w:tcBorders>
              <w:top w:val="nil"/>
              <w:left w:val="nil"/>
              <w:bottom w:val="nil"/>
              <w:right w:val="nil"/>
              <w:tl2br w:val="nil"/>
              <w:tr2bl w:val="nil"/>
            </w:tcBorders>
            <w:noWrap/>
            <w:vAlign w:val="center"/>
          </w:tcPr>
          <w:p w:rsidR="00FD5607" w:rsidRDefault="00FD5607" w:rsidP="007479CE">
            <w:pPr>
              <w:textAlignment w:val="center"/>
              <w:rPr>
                <w:color w:val="000000"/>
                <w:sz w:val="20"/>
                <w:szCs w:val="20"/>
              </w:rPr>
            </w:pPr>
            <w:r>
              <w:rPr>
                <w:color w:val="000000"/>
                <w:sz w:val="20"/>
                <w:szCs w:val="20"/>
              </w:rPr>
              <w:t>说明：我单位没有国有资本经营收入，也没有使用国有资本经营安排的支出，故本表无数据。</w:t>
            </w:r>
          </w:p>
        </w:tc>
      </w:tr>
      <w:tr w:rsidR="007A4732" w:rsidTr="00FD5607">
        <w:trPr>
          <w:gridAfter w:val="1"/>
          <w:wAfter w:w="1632" w:type="dxa"/>
          <w:trHeight w:val="308"/>
        </w:trPr>
        <w:tc>
          <w:tcPr>
            <w:tcW w:w="13660" w:type="dxa"/>
            <w:gridSpan w:val="7"/>
            <w:tcBorders>
              <w:top w:val="nil"/>
              <w:left w:val="nil"/>
              <w:bottom w:val="nil"/>
              <w:right w:val="nil"/>
              <w:tl2br w:val="nil"/>
              <w:tr2bl w:val="nil"/>
            </w:tcBorders>
            <w:noWrap/>
            <w:vAlign w:val="center"/>
          </w:tcPr>
          <w:p w:rsidR="007A4732" w:rsidRPr="00FD5607" w:rsidRDefault="007A4732">
            <w:pPr>
              <w:textAlignment w:val="center"/>
              <w:rPr>
                <w:color w:val="000000"/>
                <w:sz w:val="22"/>
              </w:rPr>
            </w:pP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44" w:type="dxa"/>
        <w:tblInd w:w="96" w:type="dxa"/>
        <w:tblLayout w:type="fixed"/>
        <w:tblLook w:val="04A0" w:firstRow="1" w:lastRow="0" w:firstColumn="1" w:lastColumn="0" w:noHBand="0" w:noVBand="1"/>
      </w:tblPr>
      <w:tblGrid>
        <w:gridCol w:w="988"/>
        <w:gridCol w:w="1176"/>
        <w:gridCol w:w="792"/>
        <w:gridCol w:w="1608"/>
        <w:gridCol w:w="1632"/>
        <w:gridCol w:w="1512"/>
        <w:gridCol w:w="776"/>
        <w:gridCol w:w="1296"/>
        <w:gridCol w:w="832"/>
        <w:gridCol w:w="1704"/>
        <w:gridCol w:w="1608"/>
        <w:gridCol w:w="1320"/>
      </w:tblGrid>
      <w:tr w:rsidR="00B87C8A">
        <w:trPr>
          <w:trHeight w:val="384"/>
        </w:trPr>
        <w:tc>
          <w:tcPr>
            <w:tcW w:w="15244" w:type="dxa"/>
            <w:gridSpan w:val="12"/>
            <w:tcBorders>
              <w:top w:val="nil"/>
              <w:left w:val="nil"/>
              <w:bottom w:val="nil"/>
              <w:right w:val="nil"/>
              <w:tl2br w:val="nil"/>
              <w:tr2bl w:val="nil"/>
            </w:tcBorders>
            <w:noWrap/>
            <w:vAlign w:val="center"/>
          </w:tcPr>
          <w:p w:rsidR="00B87C8A" w:rsidRDefault="00FD5607">
            <w:pPr>
              <w:jc w:val="center"/>
              <w:textAlignment w:val="bottom"/>
              <w:rPr>
                <w:color w:val="000000"/>
                <w:sz w:val="30"/>
                <w:szCs w:val="30"/>
              </w:rPr>
            </w:pPr>
            <w:r>
              <w:rPr>
                <w:rFonts w:hint="eastAsia"/>
                <w:color w:val="000000"/>
                <w:sz w:val="30"/>
                <w:szCs w:val="30"/>
              </w:rPr>
              <w:lastRenderedPageBreak/>
              <w:t>九</w:t>
            </w:r>
            <w:r w:rsidR="002D1C8A">
              <w:rPr>
                <w:color w:val="000000"/>
                <w:sz w:val="30"/>
                <w:szCs w:val="30"/>
              </w:rPr>
              <w:t>、一般公共预算财政拨款“三公"经费支出决算表</w:t>
            </w:r>
          </w:p>
        </w:tc>
      </w:tr>
      <w:tr w:rsidR="00B87C8A">
        <w:trPr>
          <w:trHeight w:val="264"/>
        </w:trPr>
        <w:tc>
          <w:tcPr>
            <w:tcW w:w="98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1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9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8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right"/>
              <w:rPr>
                <w:rFonts w:ascii="Arial" w:hAnsi="Arial" w:cs="Arial"/>
                <w:color w:val="000000"/>
                <w:sz w:val="20"/>
                <w:szCs w:val="20"/>
              </w:rPr>
            </w:pPr>
          </w:p>
        </w:tc>
        <w:tc>
          <w:tcPr>
            <w:tcW w:w="1320" w:type="dxa"/>
            <w:tcBorders>
              <w:top w:val="nil"/>
              <w:left w:val="nil"/>
              <w:bottom w:val="nil"/>
              <w:right w:val="nil"/>
              <w:tl2br w:val="nil"/>
              <w:tr2bl w:val="nil"/>
            </w:tcBorders>
            <w:noWrap/>
            <w:vAlign w:val="center"/>
          </w:tcPr>
          <w:p w:rsidR="00B87C8A" w:rsidRDefault="002D1C8A">
            <w:pPr>
              <w:jc w:val="right"/>
              <w:textAlignment w:val="bottom"/>
              <w:rPr>
                <w:color w:val="000000"/>
                <w:sz w:val="20"/>
                <w:szCs w:val="20"/>
              </w:rPr>
            </w:pPr>
            <w:r>
              <w:rPr>
                <w:color w:val="000000"/>
                <w:sz w:val="20"/>
                <w:szCs w:val="20"/>
              </w:rPr>
              <w:t>公开07表</w:t>
            </w:r>
          </w:p>
        </w:tc>
      </w:tr>
      <w:tr w:rsidR="00B87C8A">
        <w:trPr>
          <w:trHeight w:val="264"/>
        </w:trPr>
        <w:tc>
          <w:tcPr>
            <w:tcW w:w="2164" w:type="dxa"/>
            <w:gridSpan w:val="2"/>
            <w:tcBorders>
              <w:top w:val="nil"/>
              <w:left w:val="nil"/>
              <w:bottom w:val="nil"/>
              <w:right w:val="nil"/>
              <w:tl2br w:val="nil"/>
              <w:tr2bl w:val="nil"/>
            </w:tcBorders>
            <w:noWrap/>
            <w:vAlign w:val="center"/>
          </w:tcPr>
          <w:p w:rsidR="00B87C8A" w:rsidRDefault="002D1C8A">
            <w:pPr>
              <w:rPr>
                <w:rFonts w:ascii="Arial" w:hAnsi="Arial" w:cs="Arial"/>
                <w:color w:val="000000"/>
                <w:sz w:val="20"/>
                <w:szCs w:val="20"/>
              </w:rPr>
            </w:pPr>
            <w:r>
              <w:rPr>
                <w:color w:val="000000"/>
                <w:sz w:val="20"/>
                <w:szCs w:val="20"/>
              </w:rPr>
              <w:t>部门：吉首大学</w:t>
            </w:r>
          </w:p>
        </w:tc>
        <w:tc>
          <w:tcPr>
            <w:tcW w:w="79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8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2928" w:type="dxa"/>
            <w:gridSpan w:val="2"/>
            <w:tcBorders>
              <w:top w:val="nil"/>
              <w:left w:val="nil"/>
              <w:bottom w:val="nil"/>
              <w:right w:val="nil"/>
              <w:tl2br w:val="nil"/>
              <w:tr2bl w:val="nil"/>
            </w:tcBorders>
            <w:noWrap/>
            <w:vAlign w:val="center"/>
          </w:tcPr>
          <w:p w:rsidR="00B87C8A" w:rsidRDefault="002D1C8A">
            <w:pPr>
              <w:jc w:val="right"/>
              <w:textAlignment w:val="bottom"/>
              <w:rPr>
                <w:color w:val="000000"/>
                <w:sz w:val="20"/>
                <w:szCs w:val="20"/>
              </w:rPr>
            </w:pPr>
            <w:r>
              <w:rPr>
                <w:color w:val="000000"/>
                <w:sz w:val="20"/>
                <w:szCs w:val="20"/>
              </w:rPr>
              <w:t>金额单位：万元</w:t>
            </w:r>
          </w:p>
        </w:tc>
      </w:tr>
      <w:tr w:rsidR="00B87C8A">
        <w:trPr>
          <w:trHeight w:val="447"/>
        </w:trPr>
        <w:tc>
          <w:tcPr>
            <w:tcW w:w="7708" w:type="dxa"/>
            <w:gridSpan w:val="6"/>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预算数</w:t>
            </w:r>
          </w:p>
        </w:tc>
        <w:tc>
          <w:tcPr>
            <w:tcW w:w="7536"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决算数</w:t>
            </w:r>
          </w:p>
        </w:tc>
      </w:tr>
      <w:tr w:rsidR="00B87C8A">
        <w:trPr>
          <w:trHeight w:val="555"/>
        </w:trPr>
        <w:tc>
          <w:tcPr>
            <w:tcW w:w="988"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因公出国（境）费</w:t>
            </w:r>
          </w:p>
        </w:tc>
        <w:tc>
          <w:tcPr>
            <w:tcW w:w="4032"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公务用车购置及运行费</w:t>
            </w:r>
          </w:p>
        </w:tc>
        <w:tc>
          <w:tcPr>
            <w:tcW w:w="151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公务接待费</w:t>
            </w:r>
          </w:p>
        </w:tc>
        <w:tc>
          <w:tcPr>
            <w:tcW w:w="7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29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因公出国（境）费</w:t>
            </w:r>
          </w:p>
        </w:tc>
        <w:tc>
          <w:tcPr>
            <w:tcW w:w="4144"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公务用车购置及运行费</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公务接待费</w:t>
            </w:r>
          </w:p>
        </w:tc>
      </w:tr>
      <w:tr w:rsidR="00B87C8A">
        <w:trPr>
          <w:trHeight w:val="630"/>
        </w:trPr>
        <w:tc>
          <w:tcPr>
            <w:tcW w:w="98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公务用车购置费</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公务用车运行费</w:t>
            </w:r>
          </w:p>
        </w:tc>
        <w:tc>
          <w:tcPr>
            <w:tcW w:w="151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7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公务用车购置费</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公务用车运行费</w:t>
            </w: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r>
      <w:tr w:rsidR="00B87C8A">
        <w:trPr>
          <w:trHeight w:val="308"/>
        </w:trPr>
        <w:tc>
          <w:tcPr>
            <w:tcW w:w="988"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2</w:t>
            </w: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3</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4</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5</w:t>
            </w:r>
          </w:p>
        </w:tc>
        <w:tc>
          <w:tcPr>
            <w:tcW w:w="151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6</w:t>
            </w:r>
          </w:p>
        </w:tc>
        <w:tc>
          <w:tcPr>
            <w:tcW w:w="7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7</w:t>
            </w:r>
          </w:p>
        </w:tc>
        <w:tc>
          <w:tcPr>
            <w:tcW w:w="129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8</w:t>
            </w: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9</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10</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11</w:t>
            </w: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12</w:t>
            </w:r>
          </w:p>
        </w:tc>
      </w:tr>
      <w:tr w:rsidR="00B87C8A">
        <w:trPr>
          <w:trHeight w:val="848"/>
        </w:trPr>
        <w:tc>
          <w:tcPr>
            <w:tcW w:w="988" w:type="dxa"/>
            <w:tcBorders>
              <w:top w:val="nil"/>
              <w:left w:val="single" w:sz="4" w:space="0" w:color="000000"/>
              <w:bottom w:val="single" w:sz="4" w:space="0" w:color="000000"/>
              <w:right w:val="single" w:sz="4" w:space="0" w:color="000000"/>
              <w:tl2br w:val="nil"/>
              <w:tr2bl w:val="nil"/>
            </w:tcBorders>
            <w:noWrap/>
            <w:vAlign w:val="center"/>
          </w:tcPr>
          <w:p w:rsidR="00B87C8A" w:rsidRDefault="0074685C">
            <w:pPr>
              <w:jc w:val="center"/>
              <w:textAlignment w:val="center"/>
              <w:rPr>
                <w:color w:val="000000"/>
                <w:sz w:val="22"/>
              </w:rPr>
            </w:pPr>
            <w:r>
              <w:rPr>
                <w:rFonts w:hint="eastAsia"/>
                <w:color w:val="000000"/>
                <w:sz w:val="22"/>
              </w:rPr>
              <w:t>25.26</w:t>
            </w:r>
          </w:p>
        </w:tc>
        <w:tc>
          <w:tcPr>
            <w:tcW w:w="1176" w:type="dxa"/>
            <w:tcBorders>
              <w:top w:val="nil"/>
              <w:left w:val="nil"/>
              <w:bottom w:val="single" w:sz="4" w:space="0" w:color="000000"/>
              <w:right w:val="single" w:sz="4" w:space="0" w:color="000000"/>
              <w:tl2br w:val="nil"/>
              <w:tr2bl w:val="nil"/>
            </w:tcBorders>
            <w:noWrap/>
            <w:vAlign w:val="center"/>
          </w:tcPr>
          <w:p w:rsidR="00B87C8A" w:rsidRDefault="00B87C8A">
            <w:pPr>
              <w:jc w:val="center"/>
              <w:textAlignment w:val="center"/>
              <w:rPr>
                <w:color w:val="000000"/>
                <w:sz w:val="22"/>
              </w:rPr>
            </w:pPr>
          </w:p>
        </w:tc>
        <w:tc>
          <w:tcPr>
            <w:tcW w:w="792"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2"/>
              </w:rPr>
            </w:pPr>
          </w:p>
        </w:tc>
        <w:tc>
          <w:tcPr>
            <w:tcW w:w="1608"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2"/>
              </w:rPr>
            </w:pPr>
          </w:p>
        </w:tc>
        <w:tc>
          <w:tcPr>
            <w:tcW w:w="1632"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2"/>
              </w:rPr>
            </w:pPr>
          </w:p>
        </w:tc>
        <w:tc>
          <w:tcPr>
            <w:tcW w:w="1512" w:type="dxa"/>
            <w:tcBorders>
              <w:top w:val="nil"/>
              <w:left w:val="nil"/>
              <w:bottom w:val="single" w:sz="4" w:space="0" w:color="000000"/>
              <w:right w:val="single" w:sz="4" w:space="0" w:color="000000"/>
              <w:tl2br w:val="nil"/>
              <w:tr2bl w:val="nil"/>
            </w:tcBorders>
            <w:noWrap/>
            <w:vAlign w:val="center"/>
          </w:tcPr>
          <w:p w:rsidR="00B87C8A" w:rsidRDefault="0074685C">
            <w:pPr>
              <w:jc w:val="center"/>
              <w:textAlignment w:val="center"/>
              <w:rPr>
                <w:color w:val="000000"/>
                <w:sz w:val="22"/>
              </w:rPr>
            </w:pPr>
            <w:r>
              <w:rPr>
                <w:rFonts w:hint="eastAsia"/>
                <w:color w:val="000000"/>
                <w:sz w:val="22"/>
              </w:rPr>
              <w:t>25.26</w:t>
            </w:r>
          </w:p>
        </w:tc>
        <w:tc>
          <w:tcPr>
            <w:tcW w:w="776" w:type="dxa"/>
            <w:tcBorders>
              <w:top w:val="nil"/>
              <w:left w:val="nil"/>
              <w:bottom w:val="single" w:sz="4" w:space="0" w:color="000000"/>
              <w:right w:val="single" w:sz="4" w:space="0" w:color="000000"/>
              <w:tl2br w:val="nil"/>
              <w:tr2bl w:val="nil"/>
            </w:tcBorders>
            <w:noWrap/>
            <w:vAlign w:val="center"/>
          </w:tcPr>
          <w:p w:rsidR="00B87C8A" w:rsidRDefault="0074685C">
            <w:pPr>
              <w:jc w:val="center"/>
              <w:textAlignment w:val="center"/>
              <w:rPr>
                <w:color w:val="000000"/>
                <w:sz w:val="22"/>
              </w:rPr>
            </w:pPr>
            <w:r>
              <w:rPr>
                <w:rFonts w:hint="eastAsia"/>
                <w:color w:val="000000"/>
                <w:sz w:val="22"/>
              </w:rPr>
              <w:t>25.26</w:t>
            </w:r>
          </w:p>
        </w:tc>
        <w:tc>
          <w:tcPr>
            <w:tcW w:w="1296"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2"/>
              </w:rPr>
            </w:pPr>
          </w:p>
        </w:tc>
        <w:tc>
          <w:tcPr>
            <w:tcW w:w="832"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0"/>
                <w:szCs w:val="20"/>
              </w:rPr>
            </w:pPr>
          </w:p>
        </w:tc>
        <w:tc>
          <w:tcPr>
            <w:tcW w:w="1704"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0"/>
                <w:szCs w:val="20"/>
              </w:rPr>
            </w:pPr>
          </w:p>
        </w:tc>
        <w:tc>
          <w:tcPr>
            <w:tcW w:w="1608" w:type="dxa"/>
            <w:tcBorders>
              <w:top w:val="nil"/>
              <w:left w:val="nil"/>
              <w:bottom w:val="single" w:sz="4" w:space="0" w:color="000000"/>
              <w:right w:val="single" w:sz="4" w:space="0" w:color="000000"/>
              <w:tl2br w:val="nil"/>
              <w:tr2bl w:val="nil"/>
            </w:tcBorders>
            <w:noWrap/>
            <w:vAlign w:val="center"/>
          </w:tcPr>
          <w:p w:rsidR="00B87C8A" w:rsidRDefault="00B87C8A">
            <w:pPr>
              <w:jc w:val="center"/>
              <w:rPr>
                <w:color w:val="000000"/>
                <w:sz w:val="20"/>
                <w:szCs w:val="20"/>
              </w:rPr>
            </w:pPr>
          </w:p>
        </w:tc>
        <w:tc>
          <w:tcPr>
            <w:tcW w:w="1320" w:type="dxa"/>
            <w:tcBorders>
              <w:top w:val="nil"/>
              <w:left w:val="nil"/>
              <w:bottom w:val="single" w:sz="4" w:space="0" w:color="000000"/>
              <w:right w:val="single" w:sz="4" w:space="0" w:color="000000"/>
              <w:tl2br w:val="nil"/>
              <w:tr2bl w:val="nil"/>
            </w:tcBorders>
            <w:noWrap/>
            <w:vAlign w:val="center"/>
          </w:tcPr>
          <w:p w:rsidR="00B87C8A" w:rsidRDefault="0074685C">
            <w:pPr>
              <w:jc w:val="center"/>
              <w:textAlignment w:val="center"/>
              <w:rPr>
                <w:color w:val="000000"/>
                <w:sz w:val="22"/>
              </w:rPr>
            </w:pPr>
            <w:r>
              <w:rPr>
                <w:rFonts w:hint="eastAsia"/>
                <w:color w:val="000000"/>
                <w:sz w:val="22"/>
              </w:rPr>
              <w:t>25.26</w:t>
            </w:r>
          </w:p>
        </w:tc>
      </w:tr>
      <w:tr w:rsidR="00B87C8A">
        <w:trPr>
          <w:trHeight w:val="585"/>
        </w:trPr>
        <w:tc>
          <w:tcPr>
            <w:tcW w:w="15244" w:type="dxa"/>
            <w:gridSpan w:val="12"/>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p w:rsidR="00B87C8A" w:rsidRDefault="00B87C8A">
      <w:pPr>
        <w:jc w:val="center"/>
        <w:rPr>
          <w:rFonts w:ascii="黑体" w:eastAsia="黑体" w:hAnsi="Times New Roman" w:cs="黑体"/>
          <w:sz w:val="84"/>
          <w:szCs w:val="84"/>
        </w:rPr>
      </w:pPr>
    </w:p>
    <w:p w:rsidR="00B87C8A" w:rsidRDefault="00B87C8A">
      <w:pPr>
        <w:jc w:val="center"/>
        <w:rPr>
          <w:rFonts w:ascii="黑体" w:eastAsia="黑体" w:hAnsi="Times New Roman" w:cs="黑体"/>
          <w:sz w:val="84"/>
          <w:szCs w:val="84"/>
        </w:rPr>
      </w:pPr>
    </w:p>
    <w:p w:rsidR="00B87C8A" w:rsidRDefault="00B87C8A">
      <w:pPr>
        <w:jc w:val="center"/>
        <w:rPr>
          <w:rFonts w:ascii="黑体" w:eastAsia="黑体" w:hAnsi="Times New Roman" w:cs="黑体"/>
          <w:sz w:val="56"/>
          <w:szCs w:val="56"/>
        </w:rPr>
      </w:pPr>
    </w:p>
    <w:p w:rsidR="00B87C8A" w:rsidRDefault="00B87C8A">
      <w:pPr>
        <w:jc w:val="center"/>
        <w:rPr>
          <w:rFonts w:ascii="黑体" w:eastAsia="黑体" w:hAnsi="Times New Roman" w:cs="黑体"/>
          <w:sz w:val="84"/>
          <w:szCs w:val="84"/>
        </w:rPr>
      </w:pPr>
    </w:p>
    <w:p w:rsidR="00B87C8A" w:rsidRDefault="002D1C8A">
      <w:pPr>
        <w:jc w:val="center"/>
        <w:rPr>
          <w:rFonts w:ascii="黑体" w:eastAsia="黑体" w:hAnsi="Times New Roman" w:cs="黑体"/>
          <w:sz w:val="84"/>
          <w:szCs w:val="84"/>
        </w:rPr>
      </w:pPr>
      <w:r>
        <w:rPr>
          <w:rFonts w:ascii="黑体" w:eastAsia="黑体" w:hAnsi="Times New Roman" w:cs="黑体"/>
          <w:sz w:val="84"/>
          <w:szCs w:val="84"/>
        </w:rPr>
        <w:t>第三部分</w:t>
      </w:r>
    </w:p>
    <w:p w:rsidR="00B87C8A" w:rsidRDefault="002D1C8A" w:rsidP="00BA356D">
      <w:pPr>
        <w:spacing w:beforeLines="100" w:before="240"/>
        <w:jc w:val="center"/>
        <w:rPr>
          <w:sz w:val="84"/>
          <w:szCs w:val="84"/>
        </w:rPr>
      </w:pPr>
      <w:r>
        <w:rPr>
          <w:rFonts w:ascii="黑体" w:eastAsia="黑体" w:hAnsi="Times New Roman" w:cs="黑体"/>
          <w:sz w:val="84"/>
          <w:szCs w:val="84"/>
          <w:lang w:val="zh-CN"/>
        </w:rPr>
        <w:t>吉首大学</w:t>
      </w:r>
      <w:r w:rsidR="00CA5E48">
        <w:rPr>
          <w:rFonts w:ascii="黑体" w:eastAsia="黑体" w:hAnsi="Times New Roman" w:cs="黑体"/>
          <w:sz w:val="84"/>
          <w:szCs w:val="84"/>
        </w:rPr>
        <w:t>202</w:t>
      </w:r>
      <w:r w:rsidR="00CA5E48">
        <w:rPr>
          <w:rFonts w:ascii="黑体" w:eastAsia="黑体" w:hAnsi="Times New Roman" w:cs="黑体" w:hint="eastAsia"/>
          <w:sz w:val="84"/>
          <w:szCs w:val="84"/>
        </w:rPr>
        <w:t>2</w:t>
      </w:r>
      <w:r>
        <w:rPr>
          <w:rFonts w:ascii="黑体" w:eastAsia="黑体" w:hAnsi="Times New Roman" w:cs="黑体"/>
          <w:sz w:val="84"/>
          <w:szCs w:val="84"/>
        </w:rPr>
        <w:t>年度部门决算情况说明</w:t>
      </w:r>
    </w:p>
    <w:p w:rsidR="00B87C8A" w:rsidRDefault="00B87C8A">
      <w:pPr>
        <w:rPr>
          <w:rFonts w:ascii="黑体" w:eastAsia="黑体" w:hAnsi="Times New Roman" w:cs="黑体"/>
          <w:sz w:val="32"/>
          <w:szCs w:val="32"/>
          <w:lang w:val="zh-CN"/>
        </w:rPr>
        <w:sectPr w:rsidR="00B87C8A">
          <w:pgSz w:w="12240" w:h="15840"/>
          <w:pgMar w:top="1440" w:right="1800" w:bottom="1440" w:left="1800" w:header="720" w:footer="720" w:gutter="0"/>
          <w:cols w:space="720"/>
        </w:sectPr>
      </w:pPr>
    </w:p>
    <w:p w:rsidR="00B87C8A" w:rsidRDefault="002D1C8A">
      <w:pPr>
        <w:spacing w:line="360" w:lineRule="auto"/>
        <w:ind w:firstLineChars="200" w:firstLine="640"/>
        <w:rPr>
          <w:sz w:val="32"/>
          <w:szCs w:val="32"/>
        </w:rPr>
      </w:pPr>
      <w:r>
        <w:rPr>
          <w:rFonts w:ascii="黑体" w:eastAsia="黑体" w:hAnsi="Times New Roman" w:cs="黑体"/>
          <w:sz w:val="32"/>
          <w:szCs w:val="32"/>
          <w:lang w:val="zh-CN"/>
        </w:rPr>
        <w:lastRenderedPageBreak/>
        <w:t>一、收入支出决算总体情况说明</w:t>
      </w:r>
    </w:p>
    <w:p w:rsidR="00C158FE" w:rsidRPr="00E764E7" w:rsidRDefault="00CA5E48" w:rsidP="00834D32">
      <w:pPr>
        <w:spacing w:line="360" w:lineRule="auto"/>
        <w:ind w:firstLineChars="200" w:firstLine="560"/>
        <w:rPr>
          <w:color w:val="000000" w:themeColor="text1"/>
          <w:sz w:val="28"/>
          <w:szCs w:val="28"/>
          <w:lang w:val="zh-CN"/>
        </w:rPr>
      </w:pPr>
      <w:r>
        <w:rPr>
          <w:sz w:val="28"/>
          <w:szCs w:val="28"/>
          <w:lang w:val="zh-CN"/>
        </w:rPr>
        <w:t>202</w:t>
      </w:r>
      <w:r>
        <w:rPr>
          <w:rFonts w:hint="eastAsia"/>
          <w:sz w:val="28"/>
          <w:szCs w:val="28"/>
          <w:lang w:val="zh-CN"/>
        </w:rPr>
        <w:t>2</w:t>
      </w:r>
      <w:r w:rsidR="002D1C8A">
        <w:rPr>
          <w:sz w:val="28"/>
          <w:szCs w:val="28"/>
          <w:lang w:val="zh-CN"/>
        </w:rPr>
        <w:t>年度收、支（含结转和结余）总计均为</w:t>
      </w:r>
      <w:r w:rsidR="007479CE" w:rsidRPr="007479CE">
        <w:rPr>
          <w:sz w:val="28"/>
          <w:szCs w:val="28"/>
          <w:lang w:val="zh-CN"/>
        </w:rPr>
        <w:t>83674.74</w:t>
      </w:r>
      <w:r w:rsidR="002D1C8A">
        <w:rPr>
          <w:sz w:val="28"/>
          <w:szCs w:val="28"/>
          <w:lang w:val="zh-CN"/>
        </w:rPr>
        <w:t>万元，与</w:t>
      </w:r>
      <w:r w:rsidR="00657CA8">
        <w:rPr>
          <w:sz w:val="28"/>
          <w:szCs w:val="28"/>
          <w:lang w:val="zh-CN"/>
        </w:rPr>
        <w:t>202</w:t>
      </w:r>
      <w:r w:rsidR="00657CA8">
        <w:rPr>
          <w:rFonts w:hint="eastAsia"/>
          <w:sz w:val="28"/>
          <w:szCs w:val="28"/>
          <w:lang w:val="zh-CN"/>
        </w:rPr>
        <w:t>1</w:t>
      </w:r>
      <w:r w:rsidR="002D1C8A">
        <w:rPr>
          <w:sz w:val="28"/>
          <w:szCs w:val="28"/>
          <w:lang w:val="zh-CN"/>
        </w:rPr>
        <w:t>年相比，收、支总计各增加</w:t>
      </w:r>
      <w:r w:rsidR="007479CE" w:rsidRPr="007479CE">
        <w:rPr>
          <w:sz w:val="28"/>
          <w:szCs w:val="28"/>
          <w:lang w:val="zh-CN"/>
        </w:rPr>
        <w:t>4897.93</w:t>
      </w:r>
      <w:r w:rsidR="002D1C8A">
        <w:rPr>
          <w:sz w:val="28"/>
          <w:szCs w:val="28"/>
          <w:lang w:val="zh-CN"/>
        </w:rPr>
        <w:t>万元，增长</w:t>
      </w:r>
      <w:r w:rsidR="007479CE" w:rsidRPr="007479CE">
        <w:rPr>
          <w:sz w:val="28"/>
          <w:szCs w:val="28"/>
          <w:lang w:val="zh-CN"/>
        </w:rPr>
        <w:t>6.22%</w:t>
      </w:r>
      <w:r w:rsidR="003F0F38">
        <w:rPr>
          <w:sz w:val="28"/>
          <w:szCs w:val="28"/>
          <w:lang w:val="zh-CN"/>
        </w:rPr>
        <w:t>。</w:t>
      </w:r>
      <w:r w:rsidR="003F0F38" w:rsidRPr="007402CC">
        <w:rPr>
          <w:sz w:val="28"/>
          <w:szCs w:val="28"/>
          <w:lang w:val="zh-CN"/>
        </w:rPr>
        <w:t>主</w:t>
      </w:r>
      <w:r w:rsidR="003F0F38" w:rsidRPr="00E764E7">
        <w:rPr>
          <w:color w:val="000000" w:themeColor="text1"/>
          <w:sz w:val="28"/>
          <w:szCs w:val="28"/>
          <w:lang w:val="zh-CN"/>
        </w:rPr>
        <w:t>要原因</w:t>
      </w:r>
      <w:r w:rsidR="00A85AF5" w:rsidRPr="00E764E7">
        <w:rPr>
          <w:rFonts w:hint="eastAsia"/>
          <w:color w:val="000000" w:themeColor="text1"/>
          <w:sz w:val="28"/>
          <w:szCs w:val="28"/>
          <w:lang w:val="zh-CN"/>
        </w:rPr>
        <w:t>是</w:t>
      </w:r>
      <w:r w:rsidR="00931FE7" w:rsidRPr="00E764E7">
        <w:rPr>
          <w:color w:val="000000" w:themeColor="text1"/>
          <w:sz w:val="28"/>
          <w:szCs w:val="28"/>
          <w:lang w:val="zh-CN"/>
        </w:rPr>
        <w:t>2022年</w:t>
      </w:r>
      <w:r w:rsidR="00C158FE" w:rsidRPr="00E764E7">
        <w:rPr>
          <w:rFonts w:hint="eastAsia"/>
          <w:color w:val="000000" w:themeColor="text1"/>
          <w:sz w:val="28"/>
          <w:szCs w:val="28"/>
          <w:lang w:val="zh-CN"/>
        </w:rPr>
        <w:t>年初有大量财政拨款结转和结余，</w:t>
      </w:r>
      <w:r w:rsidR="00317683" w:rsidRPr="00E764E7">
        <w:rPr>
          <w:rFonts w:hint="eastAsia"/>
          <w:color w:val="000000" w:themeColor="text1"/>
          <w:sz w:val="28"/>
          <w:szCs w:val="28"/>
          <w:lang w:val="zh-CN"/>
        </w:rPr>
        <w:t>此外，</w:t>
      </w:r>
      <w:r w:rsidR="00C158FE" w:rsidRPr="00E764E7">
        <w:rPr>
          <w:color w:val="000000" w:themeColor="text1"/>
          <w:sz w:val="28"/>
          <w:szCs w:val="28"/>
          <w:lang w:val="zh-CN"/>
        </w:rPr>
        <w:t>学校</w:t>
      </w:r>
      <w:r w:rsidR="00C158FE" w:rsidRPr="00E764E7">
        <w:rPr>
          <w:rFonts w:hint="eastAsia"/>
          <w:color w:val="000000" w:themeColor="text1"/>
          <w:sz w:val="28"/>
          <w:szCs w:val="28"/>
          <w:lang w:val="zh-CN"/>
        </w:rPr>
        <w:t>招生规模</w:t>
      </w:r>
      <w:r w:rsidR="00C158FE" w:rsidRPr="00E764E7">
        <w:rPr>
          <w:color w:val="000000" w:themeColor="text1"/>
          <w:sz w:val="28"/>
          <w:szCs w:val="28"/>
          <w:lang w:val="zh-CN"/>
        </w:rPr>
        <w:t>扩</w:t>
      </w:r>
      <w:r w:rsidR="0024617C" w:rsidRPr="00E764E7">
        <w:rPr>
          <w:rFonts w:hint="eastAsia"/>
          <w:color w:val="000000" w:themeColor="text1"/>
          <w:sz w:val="28"/>
          <w:szCs w:val="28"/>
          <w:lang w:val="zh-CN"/>
        </w:rPr>
        <w:t>大</w:t>
      </w:r>
      <w:r w:rsidR="00834D32" w:rsidRPr="00E764E7">
        <w:rPr>
          <w:rFonts w:hint="eastAsia"/>
          <w:color w:val="000000" w:themeColor="text1"/>
          <w:sz w:val="28"/>
          <w:szCs w:val="28"/>
          <w:lang w:val="zh-CN"/>
        </w:rPr>
        <w:t>，</w:t>
      </w:r>
      <w:r w:rsidR="00E94A21" w:rsidRPr="00E764E7">
        <w:rPr>
          <w:rFonts w:hint="eastAsia"/>
          <w:color w:val="000000" w:themeColor="text1"/>
          <w:sz w:val="28"/>
          <w:szCs w:val="28"/>
          <w:lang w:val="zh-CN"/>
        </w:rPr>
        <w:t>教学活动、科研活动</w:t>
      </w:r>
      <w:r w:rsidR="00834D32" w:rsidRPr="00E764E7">
        <w:rPr>
          <w:rFonts w:hint="eastAsia"/>
          <w:color w:val="000000" w:themeColor="text1"/>
          <w:sz w:val="28"/>
          <w:szCs w:val="28"/>
          <w:lang w:val="zh-CN"/>
        </w:rPr>
        <w:t>以及相关管理建设等支出增多，</w:t>
      </w:r>
      <w:r w:rsidR="00C158FE" w:rsidRPr="00E764E7">
        <w:rPr>
          <w:rFonts w:hint="eastAsia"/>
          <w:color w:val="000000" w:themeColor="text1"/>
          <w:sz w:val="28"/>
          <w:szCs w:val="28"/>
          <w:lang w:val="zh-CN"/>
        </w:rPr>
        <w:t>事业收入以支定收，较上年有所增长。</w:t>
      </w:r>
    </w:p>
    <w:p w:rsidR="00B87C8A" w:rsidRDefault="002D1C8A">
      <w:pPr>
        <w:spacing w:line="360" w:lineRule="auto"/>
        <w:ind w:firstLineChars="200" w:firstLine="640"/>
        <w:rPr>
          <w:sz w:val="32"/>
          <w:szCs w:val="32"/>
        </w:rPr>
      </w:pPr>
      <w:r>
        <w:rPr>
          <w:rFonts w:ascii="黑体" w:eastAsia="黑体" w:hAnsi="Times New Roman" w:cs="黑体"/>
          <w:sz w:val="32"/>
          <w:szCs w:val="32"/>
        </w:rPr>
        <w:t>二、收入决算情况说明</w:t>
      </w:r>
    </w:p>
    <w:p w:rsidR="002D625C" w:rsidRDefault="002D625C" w:rsidP="002D625C">
      <w:pPr>
        <w:spacing w:line="360" w:lineRule="auto"/>
        <w:ind w:firstLineChars="200" w:firstLine="560"/>
        <w:rPr>
          <w:sz w:val="28"/>
          <w:szCs w:val="28"/>
          <w:lang w:val="zh-CN"/>
        </w:rPr>
      </w:pPr>
      <w:r w:rsidRPr="002D625C">
        <w:rPr>
          <w:sz w:val="28"/>
          <w:szCs w:val="28"/>
          <w:lang w:val="zh-CN"/>
        </w:rPr>
        <w:t>2022年度收入合计66019.59万元，其中：财政拨款收入41326.95万元，占62.6%；事业收入22026.96万元，占33.36%；其他收入2665.68万元，占4.04%。</w:t>
      </w:r>
    </w:p>
    <w:p w:rsidR="00B87C8A" w:rsidRPr="00CA5E48" w:rsidRDefault="002D1C8A" w:rsidP="002D625C">
      <w:pPr>
        <w:spacing w:line="360" w:lineRule="auto"/>
        <w:ind w:firstLineChars="200" w:firstLine="640"/>
        <w:rPr>
          <w:rFonts w:ascii="黑体" w:eastAsia="黑体" w:hAnsi="Times New Roman" w:cs="黑体"/>
          <w:sz w:val="32"/>
          <w:szCs w:val="32"/>
        </w:rPr>
      </w:pPr>
      <w:r w:rsidRPr="00CA5E48">
        <w:rPr>
          <w:rFonts w:ascii="黑体" w:eastAsia="黑体" w:hAnsi="Times New Roman" w:cs="黑体"/>
          <w:sz w:val="32"/>
          <w:szCs w:val="32"/>
        </w:rPr>
        <w:t>三、支出决算情况说明</w:t>
      </w:r>
    </w:p>
    <w:p w:rsidR="00B87C8A" w:rsidRPr="00CA5E48" w:rsidRDefault="00CA5E48" w:rsidP="002D1C8A">
      <w:pPr>
        <w:spacing w:line="360" w:lineRule="auto"/>
        <w:ind w:firstLineChars="200" w:firstLine="560"/>
        <w:rPr>
          <w:rFonts w:hAnsi="Times New Roman"/>
          <w:sz w:val="28"/>
          <w:szCs w:val="28"/>
        </w:rPr>
      </w:pPr>
      <w:r>
        <w:rPr>
          <w:rFonts w:hAnsi="Times New Roman"/>
          <w:sz w:val="28"/>
          <w:szCs w:val="28"/>
        </w:rPr>
        <w:t>202</w:t>
      </w:r>
      <w:r>
        <w:rPr>
          <w:rFonts w:hAnsi="Times New Roman" w:hint="eastAsia"/>
          <w:sz w:val="28"/>
          <w:szCs w:val="28"/>
        </w:rPr>
        <w:t>2</w:t>
      </w:r>
      <w:r w:rsidR="002D1C8A" w:rsidRPr="002D1C8A">
        <w:rPr>
          <w:rFonts w:hAnsi="Times New Roman"/>
          <w:sz w:val="28"/>
          <w:szCs w:val="28"/>
        </w:rPr>
        <w:t>年度支出合计</w:t>
      </w:r>
      <w:r w:rsidRPr="00CA5E48">
        <w:rPr>
          <w:rFonts w:hAnsi="Times New Roman"/>
          <w:sz w:val="28"/>
          <w:szCs w:val="28"/>
        </w:rPr>
        <w:t>65643.27</w:t>
      </w:r>
      <w:r w:rsidR="002D1C8A" w:rsidRPr="002D1C8A">
        <w:rPr>
          <w:rFonts w:hAnsi="Times New Roman"/>
          <w:sz w:val="28"/>
          <w:szCs w:val="28"/>
        </w:rPr>
        <w:t>万元，其中：基本支出</w:t>
      </w:r>
      <w:r w:rsidRPr="00CA5E48">
        <w:rPr>
          <w:rFonts w:hAnsi="Times New Roman"/>
          <w:sz w:val="28"/>
          <w:szCs w:val="28"/>
        </w:rPr>
        <w:t>39628.18</w:t>
      </w:r>
      <w:r w:rsidR="002D1C8A" w:rsidRPr="00CA5E48">
        <w:rPr>
          <w:rFonts w:hAnsi="Times New Roman"/>
          <w:sz w:val="28"/>
          <w:szCs w:val="28"/>
        </w:rPr>
        <w:t>万元，</w:t>
      </w:r>
      <w:r w:rsidR="002D1C8A" w:rsidRPr="002D1C8A">
        <w:rPr>
          <w:rFonts w:hAnsi="Times New Roman"/>
          <w:sz w:val="28"/>
          <w:szCs w:val="28"/>
        </w:rPr>
        <w:t>占</w:t>
      </w:r>
      <w:r w:rsidRPr="00CA5E48">
        <w:rPr>
          <w:rFonts w:hAnsi="Times New Roman"/>
          <w:sz w:val="28"/>
          <w:szCs w:val="28"/>
        </w:rPr>
        <w:t>60.37%</w:t>
      </w:r>
      <w:r w:rsidR="002D1C8A" w:rsidRPr="002D1C8A">
        <w:rPr>
          <w:rFonts w:hAnsi="Times New Roman"/>
          <w:sz w:val="28"/>
          <w:szCs w:val="28"/>
        </w:rPr>
        <w:t>；项目支出</w:t>
      </w:r>
      <w:r w:rsidRPr="00CA5E48">
        <w:rPr>
          <w:rFonts w:hAnsi="Times New Roman"/>
          <w:sz w:val="28"/>
          <w:szCs w:val="28"/>
        </w:rPr>
        <w:t>26015.09</w:t>
      </w:r>
      <w:r w:rsidR="002D1C8A" w:rsidRPr="002D1C8A">
        <w:rPr>
          <w:rFonts w:hAnsi="Times New Roman"/>
          <w:sz w:val="28"/>
          <w:szCs w:val="28"/>
        </w:rPr>
        <w:t>万元，占</w:t>
      </w:r>
      <w:r w:rsidRPr="00CA5E48">
        <w:rPr>
          <w:rFonts w:hAnsi="Times New Roman"/>
          <w:sz w:val="28"/>
          <w:szCs w:val="28"/>
        </w:rPr>
        <w:t>39.63%</w:t>
      </w:r>
      <w:r w:rsidR="002D1C8A" w:rsidRPr="002D1C8A">
        <w:rPr>
          <w:rFonts w:hAnsi="Times New Roman"/>
          <w:sz w:val="28"/>
          <w:szCs w:val="28"/>
        </w:rPr>
        <w:t>。</w:t>
      </w:r>
    </w:p>
    <w:p w:rsidR="00B87C8A" w:rsidRDefault="002D1C8A">
      <w:pPr>
        <w:spacing w:line="360" w:lineRule="auto"/>
        <w:ind w:firstLineChars="200" w:firstLine="640"/>
        <w:rPr>
          <w:sz w:val="32"/>
          <w:szCs w:val="32"/>
        </w:rPr>
      </w:pPr>
      <w:r>
        <w:rPr>
          <w:rFonts w:ascii="黑体" w:eastAsia="黑体" w:hAnsi="Times New Roman" w:cs="黑体"/>
          <w:sz w:val="32"/>
          <w:szCs w:val="32"/>
        </w:rPr>
        <w:t xml:space="preserve">四、财政拨款收入支出决算总体情况说明 </w:t>
      </w:r>
    </w:p>
    <w:p w:rsidR="00317683" w:rsidRPr="00317683" w:rsidRDefault="00CA5E48" w:rsidP="00AF481F">
      <w:pPr>
        <w:spacing w:line="360" w:lineRule="auto"/>
        <w:ind w:firstLineChars="200" w:firstLine="560"/>
        <w:rPr>
          <w:rFonts w:hAnsi="Times New Roman"/>
          <w:color w:val="FF0000"/>
          <w:sz w:val="28"/>
          <w:szCs w:val="28"/>
        </w:rPr>
      </w:pPr>
      <w:r w:rsidRPr="00AF481F">
        <w:rPr>
          <w:rFonts w:hAnsi="Times New Roman"/>
          <w:color w:val="000000" w:themeColor="text1"/>
          <w:sz w:val="28"/>
          <w:szCs w:val="28"/>
        </w:rPr>
        <w:t>202</w:t>
      </w:r>
      <w:r w:rsidRPr="00AF481F">
        <w:rPr>
          <w:rFonts w:hAnsi="Times New Roman" w:hint="eastAsia"/>
          <w:color w:val="000000" w:themeColor="text1"/>
          <w:sz w:val="28"/>
          <w:szCs w:val="28"/>
        </w:rPr>
        <w:t>2</w:t>
      </w:r>
      <w:r w:rsidR="002D1C8A" w:rsidRPr="00AF481F">
        <w:rPr>
          <w:rFonts w:hAnsi="Times New Roman"/>
          <w:color w:val="000000" w:themeColor="text1"/>
          <w:sz w:val="28"/>
          <w:szCs w:val="28"/>
        </w:rPr>
        <w:t>年度财政拨款收、支（含结转和结余）总计均为</w:t>
      </w:r>
      <w:r w:rsidRPr="00AF481F">
        <w:rPr>
          <w:rFonts w:hAnsi="Times New Roman"/>
          <w:color w:val="000000" w:themeColor="text1"/>
          <w:sz w:val="28"/>
          <w:szCs w:val="28"/>
        </w:rPr>
        <w:t>58982.1</w:t>
      </w:r>
      <w:r w:rsidR="002D1C8A" w:rsidRPr="00AF481F">
        <w:rPr>
          <w:rFonts w:hAnsi="Times New Roman"/>
          <w:color w:val="000000" w:themeColor="text1"/>
          <w:sz w:val="28"/>
          <w:szCs w:val="28"/>
        </w:rPr>
        <w:t>万元，与</w:t>
      </w:r>
      <w:r w:rsidR="002D625C" w:rsidRPr="00AF481F">
        <w:rPr>
          <w:rFonts w:hAnsi="Times New Roman"/>
          <w:color w:val="000000" w:themeColor="text1"/>
          <w:sz w:val="28"/>
          <w:szCs w:val="28"/>
        </w:rPr>
        <w:t>202</w:t>
      </w:r>
      <w:r w:rsidR="002D625C" w:rsidRPr="00AF481F">
        <w:rPr>
          <w:rFonts w:hAnsi="Times New Roman" w:hint="eastAsia"/>
          <w:color w:val="000000" w:themeColor="text1"/>
          <w:sz w:val="28"/>
          <w:szCs w:val="28"/>
        </w:rPr>
        <w:t>1</w:t>
      </w:r>
      <w:r w:rsidR="002D1C8A" w:rsidRPr="00AF481F">
        <w:rPr>
          <w:rFonts w:hAnsi="Times New Roman"/>
          <w:color w:val="000000" w:themeColor="text1"/>
          <w:sz w:val="28"/>
          <w:szCs w:val="28"/>
        </w:rPr>
        <w:t>年相比，财政拨款收、支总计各增加</w:t>
      </w:r>
      <w:r w:rsidRPr="00AF481F">
        <w:rPr>
          <w:rFonts w:hAnsi="Times New Roman"/>
          <w:color w:val="000000" w:themeColor="text1"/>
          <w:sz w:val="28"/>
          <w:szCs w:val="28"/>
        </w:rPr>
        <w:t>3953.7</w:t>
      </w:r>
      <w:r w:rsidR="002D1C8A" w:rsidRPr="00AF481F">
        <w:rPr>
          <w:rFonts w:hAnsi="Times New Roman"/>
          <w:color w:val="000000" w:themeColor="text1"/>
          <w:sz w:val="28"/>
          <w:szCs w:val="28"/>
        </w:rPr>
        <w:t>万元，增长</w:t>
      </w:r>
      <w:r w:rsidRPr="00AF481F">
        <w:rPr>
          <w:rFonts w:hAnsi="Times New Roman"/>
          <w:color w:val="000000" w:themeColor="text1"/>
          <w:sz w:val="28"/>
          <w:szCs w:val="28"/>
        </w:rPr>
        <w:t>7.18%</w:t>
      </w:r>
      <w:r w:rsidR="002D1C8A" w:rsidRPr="00AF481F">
        <w:rPr>
          <w:rFonts w:hAnsi="Times New Roman"/>
          <w:color w:val="000000" w:themeColor="text1"/>
          <w:sz w:val="28"/>
          <w:szCs w:val="28"/>
        </w:rPr>
        <w:t>。</w:t>
      </w:r>
      <w:r w:rsidR="00317683" w:rsidRPr="00E764E7">
        <w:rPr>
          <w:rFonts w:hAnsi="Times New Roman" w:hint="eastAsia"/>
          <w:color w:val="000000" w:themeColor="text1"/>
          <w:sz w:val="28"/>
          <w:szCs w:val="28"/>
        </w:rPr>
        <w:t>主要原因是上年</w:t>
      </w:r>
      <w:r w:rsidR="008A44E9" w:rsidRPr="00E764E7">
        <w:rPr>
          <w:rFonts w:hAnsi="Times New Roman" w:hint="eastAsia"/>
          <w:color w:val="000000" w:themeColor="text1"/>
          <w:sz w:val="28"/>
          <w:szCs w:val="28"/>
        </w:rPr>
        <w:t>以国库指标形式到账的</w:t>
      </w:r>
      <w:r w:rsidR="00317683" w:rsidRPr="00E764E7">
        <w:rPr>
          <w:rFonts w:hAnsi="Times New Roman" w:hint="eastAsia"/>
          <w:color w:val="000000" w:themeColor="text1"/>
          <w:sz w:val="28"/>
          <w:szCs w:val="28"/>
        </w:rPr>
        <w:t>三本独立学院</w:t>
      </w:r>
      <w:proofErr w:type="gramStart"/>
      <w:r w:rsidR="00317683" w:rsidRPr="00E764E7">
        <w:rPr>
          <w:rFonts w:hAnsi="Times New Roman" w:hint="eastAsia"/>
          <w:color w:val="000000" w:themeColor="text1"/>
          <w:sz w:val="28"/>
          <w:szCs w:val="28"/>
        </w:rPr>
        <w:t>转设</w:t>
      </w:r>
      <w:r w:rsidR="008A44E9" w:rsidRPr="00E764E7">
        <w:rPr>
          <w:rFonts w:hAnsi="Times New Roman" w:hint="eastAsia"/>
          <w:color w:val="000000" w:themeColor="text1"/>
          <w:sz w:val="28"/>
          <w:szCs w:val="28"/>
        </w:rPr>
        <w:t>资金</w:t>
      </w:r>
      <w:proofErr w:type="gramEnd"/>
      <w:r w:rsidR="008A44E9" w:rsidRPr="00E764E7">
        <w:rPr>
          <w:rFonts w:hAnsi="Times New Roman" w:hint="eastAsia"/>
          <w:color w:val="000000" w:themeColor="text1"/>
          <w:sz w:val="28"/>
          <w:szCs w:val="28"/>
        </w:rPr>
        <w:t>未完全使用</w:t>
      </w:r>
      <w:r w:rsidR="00AF481F" w:rsidRPr="00E764E7">
        <w:rPr>
          <w:rFonts w:hAnsi="Times New Roman" w:hint="eastAsia"/>
          <w:color w:val="000000" w:themeColor="text1"/>
          <w:sz w:val="28"/>
          <w:szCs w:val="28"/>
        </w:rPr>
        <w:t>，2022年</w:t>
      </w:r>
      <w:r w:rsidR="008A44E9" w:rsidRPr="00E764E7">
        <w:rPr>
          <w:rFonts w:hAnsi="Times New Roman" w:hint="eastAsia"/>
          <w:color w:val="000000" w:themeColor="text1"/>
          <w:sz w:val="28"/>
          <w:szCs w:val="28"/>
        </w:rPr>
        <w:t>年</w:t>
      </w:r>
      <w:proofErr w:type="gramStart"/>
      <w:r w:rsidR="008A44E9" w:rsidRPr="00E764E7">
        <w:rPr>
          <w:rFonts w:hAnsi="Times New Roman" w:hint="eastAsia"/>
          <w:color w:val="000000" w:themeColor="text1"/>
          <w:sz w:val="28"/>
          <w:szCs w:val="28"/>
        </w:rPr>
        <w:t>初存在</w:t>
      </w:r>
      <w:proofErr w:type="gramEnd"/>
      <w:r w:rsidR="008A44E9" w:rsidRPr="00E764E7">
        <w:rPr>
          <w:rFonts w:hAnsi="Times New Roman" w:hint="eastAsia"/>
          <w:color w:val="000000" w:themeColor="text1"/>
          <w:sz w:val="28"/>
          <w:szCs w:val="28"/>
        </w:rPr>
        <w:t>大量</w:t>
      </w:r>
      <w:r w:rsidR="008A44E9" w:rsidRPr="00E764E7">
        <w:rPr>
          <w:rFonts w:hAnsi="Times New Roman"/>
          <w:color w:val="000000" w:themeColor="text1"/>
          <w:sz w:val="28"/>
          <w:szCs w:val="28"/>
        </w:rPr>
        <w:t>一般公共预算财政拨款结转和结余</w:t>
      </w:r>
      <w:r w:rsidR="008A44E9" w:rsidRPr="00E764E7">
        <w:rPr>
          <w:rFonts w:hAnsi="Times New Roman" w:hint="eastAsia"/>
          <w:color w:val="000000" w:themeColor="text1"/>
          <w:sz w:val="28"/>
          <w:szCs w:val="28"/>
        </w:rPr>
        <w:t>。</w:t>
      </w:r>
      <w:r w:rsidR="00AF481F" w:rsidRPr="00E764E7">
        <w:rPr>
          <w:rFonts w:hAnsi="Times New Roman"/>
          <w:color w:val="000000" w:themeColor="text1"/>
          <w:sz w:val="28"/>
          <w:szCs w:val="28"/>
        </w:rPr>
        <w:t>学校</w:t>
      </w:r>
      <w:r w:rsidR="00AF481F" w:rsidRPr="00E764E7">
        <w:rPr>
          <w:rFonts w:hAnsi="Times New Roman" w:hint="eastAsia"/>
          <w:color w:val="000000" w:themeColor="text1"/>
          <w:sz w:val="28"/>
          <w:szCs w:val="28"/>
        </w:rPr>
        <w:t>2022年</w:t>
      </w:r>
      <w:r w:rsidR="008A44E9" w:rsidRPr="00E764E7">
        <w:rPr>
          <w:rFonts w:hAnsi="Times New Roman"/>
          <w:color w:val="000000" w:themeColor="text1"/>
          <w:sz w:val="28"/>
          <w:szCs w:val="28"/>
        </w:rPr>
        <w:t>严格执行预算支出</w:t>
      </w:r>
      <w:r w:rsidR="008A44E9" w:rsidRPr="00E764E7">
        <w:rPr>
          <w:rFonts w:hAnsi="Times New Roman" w:hint="eastAsia"/>
          <w:color w:val="000000" w:themeColor="text1"/>
          <w:sz w:val="28"/>
          <w:szCs w:val="28"/>
        </w:rPr>
        <w:t>，</w:t>
      </w:r>
      <w:r w:rsidR="008A44E9" w:rsidRPr="00E764E7">
        <w:rPr>
          <w:rFonts w:hAnsi="Times New Roman"/>
          <w:color w:val="000000" w:themeColor="text1"/>
          <w:sz w:val="28"/>
          <w:szCs w:val="28"/>
        </w:rPr>
        <w:t>充分</w:t>
      </w:r>
      <w:r w:rsidR="008A44E9" w:rsidRPr="00E764E7">
        <w:rPr>
          <w:rFonts w:hAnsi="Times New Roman" w:hint="eastAsia"/>
          <w:color w:val="000000" w:themeColor="text1"/>
          <w:sz w:val="28"/>
          <w:szCs w:val="28"/>
        </w:rPr>
        <w:t>、</w:t>
      </w:r>
      <w:r w:rsidR="008A44E9" w:rsidRPr="00E764E7">
        <w:rPr>
          <w:rFonts w:hAnsi="Times New Roman"/>
          <w:color w:val="000000" w:themeColor="text1"/>
          <w:sz w:val="28"/>
          <w:szCs w:val="28"/>
        </w:rPr>
        <w:t>高效使用财政拨款</w:t>
      </w:r>
      <w:r w:rsidR="008A44E9" w:rsidRPr="00E764E7">
        <w:rPr>
          <w:rFonts w:hAnsi="Times New Roman" w:hint="eastAsia"/>
          <w:color w:val="000000" w:themeColor="text1"/>
          <w:sz w:val="28"/>
          <w:szCs w:val="28"/>
        </w:rPr>
        <w:t>，</w:t>
      </w:r>
      <w:r w:rsidR="00AF481F" w:rsidRPr="00E764E7">
        <w:rPr>
          <w:rFonts w:hAnsi="Times New Roman" w:hint="eastAsia"/>
          <w:color w:val="000000" w:themeColor="text1"/>
          <w:sz w:val="28"/>
          <w:szCs w:val="28"/>
        </w:rPr>
        <w:t>做到</w:t>
      </w:r>
      <w:r w:rsidR="008A44E9" w:rsidRPr="00E764E7">
        <w:rPr>
          <w:rFonts w:hAnsi="Times New Roman"/>
          <w:color w:val="000000" w:themeColor="text1"/>
          <w:sz w:val="28"/>
          <w:szCs w:val="28"/>
        </w:rPr>
        <w:t>支出有力有为</w:t>
      </w:r>
      <w:r w:rsidR="00AF481F" w:rsidRPr="00E764E7">
        <w:rPr>
          <w:rFonts w:hAnsi="Times New Roman" w:hint="eastAsia"/>
          <w:color w:val="000000" w:themeColor="text1"/>
          <w:sz w:val="28"/>
          <w:szCs w:val="28"/>
        </w:rPr>
        <w:t>，教育支出、一般公共服务支出</w:t>
      </w:r>
      <w:r w:rsidR="00BC7FC7" w:rsidRPr="00E764E7">
        <w:rPr>
          <w:rFonts w:hAnsi="Times New Roman" w:hint="eastAsia"/>
          <w:color w:val="000000" w:themeColor="text1"/>
          <w:sz w:val="28"/>
          <w:szCs w:val="28"/>
        </w:rPr>
        <w:t>、卫生健康支出等</w:t>
      </w:r>
      <w:r w:rsidR="00AF481F" w:rsidRPr="00E764E7">
        <w:rPr>
          <w:rFonts w:hAnsi="Times New Roman" w:hint="eastAsia"/>
          <w:color w:val="000000" w:themeColor="text1"/>
          <w:sz w:val="28"/>
          <w:szCs w:val="28"/>
        </w:rPr>
        <w:t>较上年有所增长。</w:t>
      </w:r>
    </w:p>
    <w:p w:rsidR="00B87C8A" w:rsidRDefault="002D1C8A">
      <w:pPr>
        <w:spacing w:line="360" w:lineRule="auto"/>
        <w:ind w:firstLineChars="200" w:firstLine="640"/>
        <w:rPr>
          <w:sz w:val="32"/>
          <w:szCs w:val="32"/>
        </w:rPr>
      </w:pPr>
      <w:r>
        <w:rPr>
          <w:rFonts w:ascii="黑体" w:eastAsia="黑体" w:hAnsi="Times New Roman" w:cs="黑体"/>
          <w:sz w:val="32"/>
          <w:szCs w:val="32"/>
        </w:rPr>
        <w:t>五、一般公共预算财政拨款支出决算情况说明</w:t>
      </w:r>
    </w:p>
    <w:p w:rsidR="00B87C8A" w:rsidRDefault="002D1C8A">
      <w:pPr>
        <w:spacing w:line="360" w:lineRule="auto"/>
        <w:ind w:firstLineChars="200" w:firstLine="562"/>
        <w:rPr>
          <w:sz w:val="28"/>
          <w:szCs w:val="28"/>
        </w:rPr>
      </w:pPr>
      <w:r>
        <w:rPr>
          <w:rFonts w:hAnsi="Times New Roman"/>
          <w:b/>
          <w:sz w:val="28"/>
          <w:szCs w:val="28"/>
        </w:rPr>
        <w:t>（一）</w:t>
      </w:r>
      <w:r>
        <w:rPr>
          <w:rFonts w:hAnsi="Times New Roman"/>
          <w:b/>
          <w:sz w:val="28"/>
          <w:szCs w:val="28"/>
          <w:lang w:val="zh-CN"/>
        </w:rPr>
        <w:t>财政</w:t>
      </w:r>
      <w:r>
        <w:rPr>
          <w:rFonts w:hAnsi="Times New Roman"/>
          <w:b/>
          <w:sz w:val="28"/>
          <w:szCs w:val="28"/>
        </w:rPr>
        <w:t>拨款支出决算总体情况</w:t>
      </w:r>
    </w:p>
    <w:p w:rsidR="00AF481F" w:rsidRPr="00E764E7" w:rsidRDefault="005D72A6" w:rsidP="00D2661D">
      <w:pPr>
        <w:spacing w:line="360" w:lineRule="auto"/>
        <w:ind w:firstLineChars="200" w:firstLine="560"/>
        <w:rPr>
          <w:rFonts w:hAnsi="Times New Roman"/>
          <w:color w:val="000000" w:themeColor="text1"/>
          <w:sz w:val="28"/>
          <w:szCs w:val="28"/>
        </w:rPr>
      </w:pPr>
      <w:r>
        <w:rPr>
          <w:rFonts w:hAnsi="Times New Roman"/>
          <w:sz w:val="28"/>
          <w:szCs w:val="28"/>
        </w:rPr>
        <w:lastRenderedPageBreak/>
        <w:t>202</w:t>
      </w:r>
      <w:r>
        <w:rPr>
          <w:rFonts w:hAnsi="Times New Roman" w:hint="eastAsia"/>
          <w:sz w:val="28"/>
          <w:szCs w:val="28"/>
        </w:rPr>
        <w:t>2</w:t>
      </w:r>
      <w:r w:rsidR="002D1C8A" w:rsidRPr="002D1C8A">
        <w:rPr>
          <w:rFonts w:hAnsi="Times New Roman"/>
          <w:sz w:val="28"/>
          <w:szCs w:val="28"/>
        </w:rPr>
        <w:t>年度财政拨款支出</w:t>
      </w:r>
      <w:r w:rsidRPr="005D72A6">
        <w:rPr>
          <w:rFonts w:hAnsi="Times New Roman"/>
          <w:sz w:val="28"/>
          <w:szCs w:val="28"/>
        </w:rPr>
        <w:t>44458.42</w:t>
      </w:r>
      <w:r w:rsidR="002D1C8A" w:rsidRPr="002D1C8A">
        <w:rPr>
          <w:rFonts w:hAnsi="Times New Roman"/>
          <w:sz w:val="28"/>
          <w:szCs w:val="28"/>
        </w:rPr>
        <w:t>万元，占本年支出合计的</w:t>
      </w:r>
      <w:r w:rsidRPr="005D72A6">
        <w:rPr>
          <w:rFonts w:hAnsi="Times New Roman"/>
          <w:sz w:val="28"/>
          <w:szCs w:val="28"/>
        </w:rPr>
        <w:t>67.73%</w:t>
      </w:r>
      <w:r w:rsidR="002D1C8A" w:rsidRPr="002D1C8A">
        <w:rPr>
          <w:rFonts w:hAnsi="Times New Roman"/>
          <w:sz w:val="28"/>
          <w:szCs w:val="28"/>
        </w:rPr>
        <w:t>。与</w:t>
      </w:r>
      <w:r>
        <w:rPr>
          <w:rFonts w:hAnsi="Times New Roman"/>
          <w:sz w:val="28"/>
          <w:szCs w:val="28"/>
        </w:rPr>
        <w:t>202</w:t>
      </w:r>
      <w:r>
        <w:rPr>
          <w:rFonts w:hAnsi="Times New Roman" w:hint="eastAsia"/>
          <w:sz w:val="28"/>
          <w:szCs w:val="28"/>
        </w:rPr>
        <w:t>1</w:t>
      </w:r>
      <w:r w:rsidR="002D1C8A" w:rsidRPr="002D1C8A">
        <w:rPr>
          <w:rFonts w:hAnsi="Times New Roman"/>
          <w:sz w:val="28"/>
          <w:szCs w:val="28"/>
        </w:rPr>
        <w:t>年度相比，财政拨款支出增加</w:t>
      </w:r>
      <w:r w:rsidRPr="005D72A6">
        <w:rPr>
          <w:rFonts w:hAnsi="Times New Roman"/>
          <w:sz w:val="28"/>
          <w:szCs w:val="28"/>
        </w:rPr>
        <w:t>7243</w:t>
      </w:r>
      <w:r w:rsidR="002D1C8A" w:rsidRPr="002D1C8A">
        <w:rPr>
          <w:rFonts w:hAnsi="Times New Roman"/>
          <w:sz w:val="28"/>
          <w:szCs w:val="28"/>
        </w:rPr>
        <w:t>万元，增长</w:t>
      </w:r>
      <w:r w:rsidRPr="005D72A6">
        <w:rPr>
          <w:rFonts w:hAnsi="Times New Roman"/>
          <w:sz w:val="28"/>
          <w:szCs w:val="28"/>
        </w:rPr>
        <w:t>19.46%</w:t>
      </w:r>
      <w:r w:rsidR="00DE490E">
        <w:rPr>
          <w:rFonts w:hAnsi="Times New Roman" w:hint="eastAsia"/>
          <w:sz w:val="28"/>
          <w:szCs w:val="28"/>
        </w:rPr>
        <w:t>，</w:t>
      </w:r>
      <w:r w:rsidR="002D1C8A" w:rsidRPr="00E764E7">
        <w:rPr>
          <w:rFonts w:hAnsi="Times New Roman"/>
          <w:color w:val="000000" w:themeColor="text1"/>
          <w:sz w:val="28"/>
          <w:szCs w:val="28"/>
        </w:rPr>
        <w:t>主要原因</w:t>
      </w:r>
      <w:r w:rsidR="00D2661D" w:rsidRPr="00E764E7">
        <w:rPr>
          <w:rFonts w:hAnsi="Times New Roman" w:hint="eastAsia"/>
          <w:color w:val="000000" w:themeColor="text1"/>
          <w:sz w:val="28"/>
          <w:szCs w:val="28"/>
        </w:rPr>
        <w:t>是</w:t>
      </w:r>
      <w:r w:rsidR="00834D32" w:rsidRPr="00E764E7">
        <w:rPr>
          <w:rFonts w:hAnsi="Times New Roman" w:hint="eastAsia"/>
          <w:color w:val="000000" w:themeColor="text1"/>
          <w:sz w:val="28"/>
          <w:szCs w:val="28"/>
        </w:rPr>
        <w:t>学校</w:t>
      </w:r>
      <w:r w:rsidR="00C96872" w:rsidRPr="00E764E7">
        <w:rPr>
          <w:rFonts w:hint="eastAsia"/>
          <w:color w:val="000000" w:themeColor="text1"/>
          <w:sz w:val="28"/>
          <w:szCs w:val="28"/>
          <w:lang w:val="zh-CN"/>
        </w:rPr>
        <w:t>为改</w:t>
      </w:r>
      <w:r w:rsidR="00834D32" w:rsidRPr="00E764E7">
        <w:rPr>
          <w:rFonts w:hint="eastAsia"/>
          <w:color w:val="000000" w:themeColor="text1"/>
          <w:sz w:val="28"/>
          <w:szCs w:val="28"/>
          <w:lang w:val="zh-CN"/>
        </w:rPr>
        <w:t>善办学条件、优化科研环境，</w:t>
      </w:r>
      <w:r w:rsidR="00C96872" w:rsidRPr="00E764E7">
        <w:rPr>
          <w:rFonts w:hint="eastAsia"/>
          <w:color w:val="000000" w:themeColor="text1"/>
          <w:sz w:val="28"/>
          <w:szCs w:val="28"/>
          <w:lang w:val="zh-CN"/>
        </w:rPr>
        <w:t>大幅度增加相关教育支出，包括实施</w:t>
      </w:r>
      <w:r w:rsidR="00834D32" w:rsidRPr="00E764E7">
        <w:rPr>
          <w:rFonts w:hint="eastAsia"/>
          <w:color w:val="000000" w:themeColor="text1"/>
          <w:sz w:val="28"/>
          <w:szCs w:val="28"/>
          <w:lang w:val="zh-CN"/>
        </w:rPr>
        <w:t>校园电力扩容工程</w:t>
      </w:r>
      <w:r w:rsidR="00C96872" w:rsidRPr="00E764E7">
        <w:rPr>
          <w:rFonts w:hint="eastAsia"/>
          <w:color w:val="000000" w:themeColor="text1"/>
          <w:sz w:val="28"/>
          <w:szCs w:val="28"/>
          <w:lang w:val="zh-CN"/>
        </w:rPr>
        <w:t>、学生宿舍空调安装工作、学生宿舍修建以及其他校区基础设施建设等。此外，随着学校的招生规模扩大，相关的</w:t>
      </w:r>
      <w:r w:rsidR="00170AEE" w:rsidRPr="00E764E7">
        <w:rPr>
          <w:rFonts w:hint="eastAsia"/>
          <w:color w:val="000000" w:themeColor="text1"/>
          <w:sz w:val="28"/>
          <w:szCs w:val="28"/>
          <w:lang w:val="zh-CN"/>
        </w:rPr>
        <w:t>人员经费以及</w:t>
      </w:r>
      <w:r w:rsidR="00C96872" w:rsidRPr="00E764E7">
        <w:rPr>
          <w:rFonts w:hint="eastAsia"/>
          <w:color w:val="000000" w:themeColor="text1"/>
          <w:sz w:val="28"/>
          <w:szCs w:val="28"/>
          <w:lang w:val="zh-CN"/>
        </w:rPr>
        <w:t>教学运行、水电和物业管理费等</w:t>
      </w:r>
      <w:r w:rsidR="00170AEE" w:rsidRPr="00E764E7">
        <w:rPr>
          <w:rFonts w:hint="eastAsia"/>
          <w:color w:val="000000" w:themeColor="text1"/>
          <w:sz w:val="28"/>
          <w:szCs w:val="28"/>
          <w:lang w:val="zh-CN"/>
        </w:rPr>
        <w:t>公用经费</w:t>
      </w:r>
      <w:r w:rsidR="00C96872" w:rsidRPr="00E764E7">
        <w:rPr>
          <w:rFonts w:hint="eastAsia"/>
          <w:color w:val="000000" w:themeColor="text1"/>
          <w:sz w:val="28"/>
          <w:szCs w:val="28"/>
          <w:lang w:val="zh-CN"/>
        </w:rPr>
        <w:t>也较上年有所增加。</w:t>
      </w:r>
    </w:p>
    <w:p w:rsidR="00EA492B" w:rsidRDefault="002D1C8A" w:rsidP="00EA492B">
      <w:pPr>
        <w:spacing w:line="360" w:lineRule="auto"/>
        <w:ind w:firstLineChars="200" w:firstLine="562"/>
        <w:rPr>
          <w:sz w:val="28"/>
          <w:szCs w:val="28"/>
        </w:rPr>
      </w:pPr>
      <w:r w:rsidRPr="002D1C8A">
        <w:rPr>
          <w:rFonts w:hAnsi="Times New Roman"/>
          <w:b/>
          <w:sz w:val="28"/>
          <w:szCs w:val="28"/>
        </w:rPr>
        <w:t>（二）财政拨款支出决算结构情况</w:t>
      </w:r>
    </w:p>
    <w:p w:rsidR="005D72A6" w:rsidRPr="00EA492B" w:rsidRDefault="005D72A6" w:rsidP="00EA492B">
      <w:pPr>
        <w:spacing w:line="360" w:lineRule="auto"/>
        <w:ind w:firstLineChars="200" w:firstLine="560"/>
        <w:rPr>
          <w:sz w:val="28"/>
          <w:szCs w:val="28"/>
        </w:rPr>
      </w:pPr>
      <w:r w:rsidRPr="00EA492B">
        <w:rPr>
          <w:sz w:val="28"/>
          <w:szCs w:val="28"/>
          <w:lang w:val="zh-CN"/>
        </w:rPr>
        <w:t>2022</w:t>
      </w:r>
      <w:r w:rsidRPr="00EA492B">
        <w:rPr>
          <w:rFonts w:hint="eastAsia"/>
          <w:sz w:val="28"/>
          <w:szCs w:val="28"/>
          <w:lang w:val="zh-CN"/>
        </w:rPr>
        <w:t>年度财政拨款支出</w:t>
      </w:r>
      <w:r w:rsidRPr="00EA492B">
        <w:rPr>
          <w:sz w:val="28"/>
          <w:szCs w:val="28"/>
          <w:lang w:val="zh-CN"/>
        </w:rPr>
        <w:t>44458.42</w:t>
      </w:r>
      <w:r w:rsidRPr="00EA492B">
        <w:rPr>
          <w:rFonts w:hint="eastAsia"/>
          <w:sz w:val="28"/>
          <w:szCs w:val="28"/>
          <w:lang w:val="zh-CN"/>
        </w:rPr>
        <w:t>万元，主要用于以下方面：一般公共服务（类）支出</w:t>
      </w:r>
      <w:r w:rsidRPr="00EA492B">
        <w:rPr>
          <w:sz w:val="28"/>
          <w:szCs w:val="28"/>
          <w:lang w:val="zh-CN"/>
        </w:rPr>
        <w:t>92.88</w:t>
      </w:r>
      <w:r w:rsidRPr="00EA492B">
        <w:rPr>
          <w:rFonts w:hint="eastAsia"/>
          <w:sz w:val="28"/>
          <w:szCs w:val="28"/>
          <w:lang w:val="zh-CN"/>
        </w:rPr>
        <w:t>万元，占</w:t>
      </w:r>
      <w:r w:rsidRPr="00EA492B">
        <w:rPr>
          <w:sz w:val="28"/>
          <w:szCs w:val="28"/>
          <w:lang w:val="zh-CN"/>
        </w:rPr>
        <w:t>0.21%</w:t>
      </w:r>
      <w:r w:rsidRPr="00EA492B">
        <w:rPr>
          <w:rFonts w:hint="eastAsia"/>
          <w:sz w:val="28"/>
          <w:szCs w:val="28"/>
          <w:lang w:val="zh-CN"/>
        </w:rPr>
        <w:t>；教育（类）支出</w:t>
      </w:r>
      <w:r w:rsidRPr="00EA492B">
        <w:rPr>
          <w:sz w:val="28"/>
          <w:szCs w:val="28"/>
          <w:lang w:val="zh-CN"/>
        </w:rPr>
        <w:t>43446.28</w:t>
      </w:r>
      <w:r w:rsidRPr="00EA492B">
        <w:rPr>
          <w:rFonts w:hint="eastAsia"/>
          <w:sz w:val="28"/>
          <w:szCs w:val="28"/>
          <w:lang w:val="zh-CN"/>
        </w:rPr>
        <w:t>万元，占</w:t>
      </w:r>
      <w:r w:rsidRPr="00EA492B">
        <w:rPr>
          <w:sz w:val="28"/>
          <w:szCs w:val="28"/>
          <w:lang w:val="zh-CN"/>
        </w:rPr>
        <w:t>97.72%</w:t>
      </w:r>
      <w:r w:rsidRPr="00EA492B">
        <w:rPr>
          <w:rFonts w:hint="eastAsia"/>
          <w:sz w:val="28"/>
          <w:szCs w:val="28"/>
          <w:lang w:val="zh-CN"/>
        </w:rPr>
        <w:t>；科学技术（类）支出</w:t>
      </w:r>
      <w:r w:rsidRPr="00EA492B">
        <w:rPr>
          <w:sz w:val="28"/>
          <w:szCs w:val="28"/>
          <w:lang w:val="zh-CN"/>
        </w:rPr>
        <w:t>306.5</w:t>
      </w:r>
      <w:r w:rsidRPr="00EA492B">
        <w:rPr>
          <w:rFonts w:hint="eastAsia"/>
          <w:sz w:val="28"/>
          <w:szCs w:val="28"/>
          <w:lang w:val="zh-CN"/>
        </w:rPr>
        <w:t>万元，占</w:t>
      </w:r>
      <w:r w:rsidRPr="00EA492B">
        <w:rPr>
          <w:sz w:val="28"/>
          <w:szCs w:val="28"/>
          <w:lang w:val="zh-CN"/>
        </w:rPr>
        <w:t>0.69%</w:t>
      </w:r>
      <w:r w:rsidRPr="00EA492B">
        <w:rPr>
          <w:rFonts w:hint="eastAsia"/>
          <w:sz w:val="28"/>
          <w:szCs w:val="28"/>
          <w:lang w:val="zh-CN"/>
        </w:rPr>
        <w:t>；文化旅游体育与传媒（类）支出</w:t>
      </w:r>
      <w:r w:rsidRPr="00EA492B">
        <w:rPr>
          <w:sz w:val="28"/>
          <w:szCs w:val="28"/>
          <w:lang w:val="zh-CN"/>
        </w:rPr>
        <w:t>50</w:t>
      </w:r>
      <w:r w:rsidRPr="00EA492B">
        <w:rPr>
          <w:rFonts w:hint="eastAsia"/>
          <w:sz w:val="28"/>
          <w:szCs w:val="28"/>
          <w:lang w:val="zh-CN"/>
        </w:rPr>
        <w:t>万元，占</w:t>
      </w:r>
      <w:r w:rsidRPr="00EA492B">
        <w:rPr>
          <w:sz w:val="28"/>
          <w:szCs w:val="28"/>
          <w:lang w:val="zh-CN"/>
        </w:rPr>
        <w:t>0.11%</w:t>
      </w:r>
      <w:r w:rsidRPr="00EA492B">
        <w:rPr>
          <w:rFonts w:hint="eastAsia"/>
          <w:sz w:val="28"/>
          <w:szCs w:val="28"/>
          <w:lang w:val="zh-CN"/>
        </w:rPr>
        <w:t>；社会保障和就业（类）支出</w:t>
      </w:r>
      <w:r w:rsidRPr="00EA492B">
        <w:rPr>
          <w:sz w:val="28"/>
          <w:szCs w:val="28"/>
          <w:lang w:val="zh-CN"/>
        </w:rPr>
        <w:t>19.38</w:t>
      </w:r>
      <w:r w:rsidRPr="00EA492B">
        <w:rPr>
          <w:rFonts w:hint="eastAsia"/>
          <w:sz w:val="28"/>
          <w:szCs w:val="28"/>
          <w:lang w:val="zh-CN"/>
        </w:rPr>
        <w:t>万元，占</w:t>
      </w:r>
      <w:r w:rsidRPr="00EA492B">
        <w:rPr>
          <w:sz w:val="28"/>
          <w:szCs w:val="28"/>
          <w:lang w:val="zh-CN"/>
        </w:rPr>
        <w:t>0.04%</w:t>
      </w:r>
      <w:r w:rsidRPr="00EA492B">
        <w:rPr>
          <w:rFonts w:hint="eastAsia"/>
          <w:sz w:val="28"/>
          <w:szCs w:val="28"/>
          <w:lang w:val="zh-CN"/>
        </w:rPr>
        <w:t>；卫生健康（类）支出</w:t>
      </w:r>
      <w:r w:rsidRPr="00EA492B">
        <w:rPr>
          <w:sz w:val="28"/>
          <w:szCs w:val="28"/>
          <w:lang w:val="zh-CN"/>
        </w:rPr>
        <w:t>523.39</w:t>
      </w:r>
      <w:r w:rsidRPr="00EA492B">
        <w:rPr>
          <w:rFonts w:hint="eastAsia"/>
          <w:sz w:val="28"/>
          <w:szCs w:val="28"/>
          <w:lang w:val="zh-CN"/>
        </w:rPr>
        <w:t>万元，占</w:t>
      </w:r>
      <w:r w:rsidRPr="00EA492B">
        <w:rPr>
          <w:sz w:val="28"/>
          <w:szCs w:val="28"/>
          <w:lang w:val="zh-CN"/>
        </w:rPr>
        <w:t>1.18%</w:t>
      </w:r>
      <w:r w:rsidRPr="00EA492B">
        <w:rPr>
          <w:rFonts w:hint="eastAsia"/>
          <w:sz w:val="28"/>
          <w:szCs w:val="28"/>
          <w:lang w:val="zh-CN"/>
        </w:rPr>
        <w:t>；农林水（类）支出</w:t>
      </w:r>
      <w:r w:rsidRPr="00EA492B">
        <w:rPr>
          <w:sz w:val="28"/>
          <w:szCs w:val="28"/>
          <w:lang w:val="zh-CN"/>
        </w:rPr>
        <w:t>20</w:t>
      </w:r>
      <w:r w:rsidRPr="00EA492B">
        <w:rPr>
          <w:rFonts w:hint="eastAsia"/>
          <w:sz w:val="28"/>
          <w:szCs w:val="28"/>
          <w:lang w:val="zh-CN"/>
        </w:rPr>
        <w:t>万元，占</w:t>
      </w:r>
      <w:r w:rsidRPr="00EA492B">
        <w:rPr>
          <w:sz w:val="28"/>
          <w:szCs w:val="28"/>
          <w:lang w:val="zh-CN"/>
        </w:rPr>
        <w:t>0.04%</w:t>
      </w:r>
      <w:r w:rsidR="00556574">
        <w:rPr>
          <w:rFonts w:hint="eastAsia"/>
          <w:sz w:val="28"/>
          <w:szCs w:val="28"/>
          <w:lang w:val="zh-CN"/>
        </w:rPr>
        <w:t>。</w:t>
      </w:r>
    </w:p>
    <w:p w:rsidR="00B87C8A" w:rsidRPr="002D1C8A" w:rsidRDefault="002D1C8A">
      <w:pPr>
        <w:spacing w:line="360" w:lineRule="auto"/>
        <w:ind w:firstLineChars="200" w:firstLine="562"/>
        <w:rPr>
          <w:sz w:val="28"/>
          <w:szCs w:val="28"/>
        </w:rPr>
      </w:pPr>
      <w:r w:rsidRPr="002D1C8A">
        <w:rPr>
          <w:b/>
          <w:sz w:val="28"/>
          <w:szCs w:val="28"/>
        </w:rPr>
        <w:t>（三）财政拨款支出决算具体情况</w:t>
      </w:r>
    </w:p>
    <w:p w:rsidR="00B87C8A" w:rsidRPr="00EA492B" w:rsidRDefault="00EA492B" w:rsidP="002D1C8A">
      <w:pPr>
        <w:spacing w:line="360" w:lineRule="auto"/>
        <w:ind w:firstLineChars="200" w:firstLine="560"/>
        <w:rPr>
          <w:sz w:val="28"/>
          <w:szCs w:val="28"/>
          <w:lang w:val="zh-CN"/>
        </w:rPr>
      </w:pPr>
      <w:r>
        <w:rPr>
          <w:sz w:val="28"/>
          <w:szCs w:val="28"/>
          <w:lang w:val="zh-CN"/>
        </w:rPr>
        <w:t>202</w:t>
      </w:r>
      <w:r>
        <w:rPr>
          <w:rFonts w:hint="eastAsia"/>
          <w:sz w:val="28"/>
          <w:szCs w:val="28"/>
          <w:lang w:val="zh-CN"/>
        </w:rPr>
        <w:t>2</w:t>
      </w:r>
      <w:r w:rsidR="002D1C8A" w:rsidRPr="002D1C8A">
        <w:rPr>
          <w:sz w:val="28"/>
          <w:szCs w:val="28"/>
          <w:lang w:val="zh-CN"/>
        </w:rPr>
        <w:t>年度财政拨款支出年初预算为</w:t>
      </w:r>
      <w:r w:rsidRPr="00EA492B">
        <w:rPr>
          <w:sz w:val="28"/>
          <w:szCs w:val="28"/>
          <w:lang w:val="zh-CN"/>
        </w:rPr>
        <w:t>43474.92</w:t>
      </w:r>
      <w:r w:rsidR="002D1C8A" w:rsidRPr="002D1C8A">
        <w:rPr>
          <w:sz w:val="28"/>
          <w:szCs w:val="28"/>
          <w:lang w:val="zh-CN"/>
        </w:rPr>
        <w:t>万元，支出决算为</w:t>
      </w:r>
      <w:r w:rsidRPr="00EA492B">
        <w:rPr>
          <w:sz w:val="28"/>
          <w:szCs w:val="28"/>
          <w:lang w:val="zh-CN"/>
        </w:rPr>
        <w:t>44458.42</w:t>
      </w:r>
      <w:r w:rsidR="002D1C8A" w:rsidRPr="002D1C8A">
        <w:rPr>
          <w:sz w:val="28"/>
          <w:szCs w:val="28"/>
          <w:lang w:val="zh-CN"/>
        </w:rPr>
        <w:t>万元，</w:t>
      </w:r>
      <w:r w:rsidR="002D1C8A" w:rsidRPr="00EA492B">
        <w:rPr>
          <w:sz w:val="28"/>
          <w:szCs w:val="28"/>
          <w:lang w:val="zh-CN"/>
        </w:rPr>
        <w:t>因年中有财政拨款追加，所以年初预算执行率超过100%</w:t>
      </w:r>
      <w:r w:rsidR="002D1C8A" w:rsidRPr="002D1C8A">
        <w:rPr>
          <w:sz w:val="28"/>
          <w:szCs w:val="28"/>
          <w:lang w:val="zh-CN"/>
        </w:rPr>
        <w:t>。</w:t>
      </w:r>
      <w:r w:rsidR="002D1C8A" w:rsidRPr="00F967E8">
        <w:rPr>
          <w:color w:val="000000" w:themeColor="text1"/>
          <w:sz w:val="28"/>
          <w:szCs w:val="28"/>
          <w:lang w:val="zh-CN"/>
        </w:rPr>
        <w:t>其中</w:t>
      </w:r>
      <w:r w:rsidR="002D1C8A" w:rsidRPr="002D1C8A">
        <w:rPr>
          <w:sz w:val="28"/>
          <w:szCs w:val="28"/>
          <w:lang w:val="zh-CN"/>
        </w:rPr>
        <w:t>：</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EC5189" w:rsidRPr="00EC5189">
        <w:rPr>
          <w:rFonts w:ascii="宋体" w:eastAsia="宋体" w:hAnsi="宋体"/>
          <w:color w:val="auto"/>
          <w:sz w:val="28"/>
          <w:szCs w:val="28"/>
        </w:rPr>
        <w:t>一</w:t>
      </w:r>
      <w:r w:rsidR="00EC5189">
        <w:rPr>
          <w:rFonts w:ascii="宋体" w:eastAsia="宋体" w:hAnsi="宋体"/>
          <w:color w:val="auto"/>
          <w:sz w:val="28"/>
          <w:szCs w:val="28"/>
        </w:rPr>
        <w:t>般公共服务支出（类）财政事务（款）其他财政事务支出（项）</w:t>
      </w:r>
    </w:p>
    <w:p w:rsidR="00EC5189"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年初预算为0万元，支出决算为2.38万元，决算数大于预算数的</w:t>
      </w:r>
      <w:r w:rsidRPr="005832F9">
        <w:rPr>
          <w:rFonts w:ascii="宋体" w:eastAsia="宋体" w:hAnsi="宋体"/>
          <w:color w:val="000000" w:themeColor="text1"/>
          <w:sz w:val="28"/>
          <w:szCs w:val="28"/>
        </w:rPr>
        <w:t>主要原因</w:t>
      </w:r>
      <w:r w:rsidRPr="00EC5189">
        <w:rPr>
          <w:rFonts w:ascii="宋体" w:eastAsia="宋体" w:hAnsi="宋体"/>
          <w:color w:val="auto"/>
          <w:sz w:val="28"/>
          <w:szCs w:val="28"/>
        </w:rPr>
        <w:t>是</w:t>
      </w:r>
      <w:r>
        <w:rPr>
          <w:rFonts w:ascii="宋体" w:eastAsia="宋体" w:hAnsi="宋体"/>
          <w:color w:val="auto"/>
          <w:sz w:val="28"/>
          <w:szCs w:val="28"/>
        </w:rPr>
        <w:t>：</w:t>
      </w:r>
      <w:r w:rsidR="00591AB9" w:rsidRPr="002D1C8A">
        <w:rPr>
          <w:rFonts w:ascii="宋体" w:eastAsia="宋体" w:hAnsi="宋体"/>
          <w:color w:val="auto"/>
          <w:sz w:val="28"/>
          <w:szCs w:val="28"/>
        </w:rPr>
        <w:t>该项经费于年中追加。</w:t>
      </w:r>
    </w:p>
    <w:p w:rsidR="00B87C8A" w:rsidRDefault="002D1C8A" w:rsidP="00EC5189">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2、</w:t>
      </w:r>
      <w:r w:rsidR="00EC5189" w:rsidRPr="00EC5189">
        <w:rPr>
          <w:rFonts w:ascii="宋体" w:eastAsia="宋体" w:hAnsi="宋体"/>
          <w:color w:val="auto"/>
          <w:sz w:val="28"/>
          <w:szCs w:val="28"/>
        </w:rPr>
        <w:t>一般</w:t>
      </w:r>
      <w:r w:rsidR="00EC5189">
        <w:rPr>
          <w:rFonts w:ascii="宋体" w:eastAsia="宋体" w:hAnsi="宋体"/>
          <w:color w:val="auto"/>
          <w:sz w:val="28"/>
          <w:szCs w:val="28"/>
        </w:rPr>
        <w:t>公共服务支出（类）知识产权事务（款）其他知识产权事务支出（项）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年初预算为0万元，支出决算为49.5万元，决算数大于预算数的</w:t>
      </w:r>
      <w:r w:rsidRPr="005832F9">
        <w:rPr>
          <w:rFonts w:ascii="宋体" w:eastAsia="宋体" w:hAnsi="宋体"/>
          <w:color w:val="000000" w:themeColor="text1"/>
          <w:sz w:val="28"/>
          <w:szCs w:val="28"/>
        </w:rPr>
        <w:t>主</w:t>
      </w:r>
      <w:r w:rsidRPr="005832F9">
        <w:rPr>
          <w:rFonts w:ascii="宋体" w:eastAsia="宋体" w:hAnsi="宋体"/>
          <w:color w:val="000000" w:themeColor="text1"/>
          <w:sz w:val="28"/>
          <w:szCs w:val="28"/>
        </w:rPr>
        <w:lastRenderedPageBreak/>
        <w:t>要原因</w:t>
      </w:r>
      <w:r w:rsidRPr="00EC5189">
        <w:rPr>
          <w:rFonts w:ascii="宋体" w:eastAsia="宋体" w:hAnsi="宋体"/>
          <w:color w:val="auto"/>
          <w:sz w:val="28"/>
          <w:szCs w:val="28"/>
        </w:rPr>
        <w:t>是</w:t>
      </w:r>
      <w:r w:rsidR="002D1C8A"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3、</w:t>
      </w:r>
      <w:r w:rsidR="00EC5189">
        <w:rPr>
          <w:rFonts w:ascii="宋体" w:eastAsia="宋体" w:hAnsi="宋体"/>
          <w:color w:val="auto"/>
          <w:sz w:val="28"/>
          <w:szCs w:val="28"/>
        </w:rPr>
        <w:t>一般公共服务支出（类）民族事务（款）民族工作专项（项）</w:t>
      </w:r>
    </w:p>
    <w:p w:rsidR="00B87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年初预算为0万元，支出决算为36万元，决算数大于预算数的</w:t>
      </w:r>
      <w:r w:rsidRPr="005832F9">
        <w:rPr>
          <w:rFonts w:ascii="宋体" w:eastAsia="宋体" w:hAnsi="宋体"/>
          <w:color w:val="000000" w:themeColor="text1"/>
          <w:sz w:val="28"/>
          <w:szCs w:val="28"/>
        </w:rPr>
        <w:t>主要原因</w:t>
      </w:r>
      <w:r w:rsidRPr="00EC5189">
        <w:rPr>
          <w:rFonts w:ascii="宋体" w:eastAsia="宋体" w:hAnsi="宋体"/>
          <w:color w:val="auto"/>
          <w:sz w:val="28"/>
          <w:szCs w:val="28"/>
        </w:rPr>
        <w:t>是</w:t>
      </w:r>
      <w:r w:rsidR="002D1C8A" w:rsidRPr="002D1C8A">
        <w:rPr>
          <w:rFonts w:ascii="宋体" w:eastAsia="宋体" w:hAnsi="宋体"/>
          <w:color w:val="auto"/>
          <w:sz w:val="28"/>
          <w:szCs w:val="28"/>
        </w:rPr>
        <w:t>：该项经费于年中追加。</w:t>
      </w:r>
    </w:p>
    <w:p w:rsidR="00EC5189" w:rsidRDefault="00EC5189"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4、一般公共服务支出（类）群众团体事务（款）一般行政管理事务（项）</w:t>
      </w:r>
    </w:p>
    <w:p w:rsidR="00EC5189"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年初预算为0万元，支出决算为5万元，决算数大于预算数的主</w:t>
      </w:r>
      <w:r w:rsidRPr="005832F9">
        <w:rPr>
          <w:rFonts w:ascii="宋体" w:eastAsia="宋体" w:hAnsi="宋体"/>
          <w:color w:val="000000" w:themeColor="text1"/>
          <w:sz w:val="28"/>
          <w:szCs w:val="28"/>
        </w:rPr>
        <w:t>要原因</w:t>
      </w:r>
      <w:r w:rsidRPr="00EC5189">
        <w:rPr>
          <w:rFonts w:ascii="宋体" w:eastAsia="宋体" w:hAnsi="宋体"/>
          <w:color w:val="auto"/>
          <w:sz w:val="28"/>
          <w:szCs w:val="28"/>
        </w:rPr>
        <w:t>是</w:t>
      </w:r>
      <w:r>
        <w:rPr>
          <w:rFonts w:ascii="宋体" w:eastAsia="宋体" w:hAnsi="宋体"/>
          <w:color w:val="auto"/>
          <w:sz w:val="28"/>
          <w:szCs w:val="28"/>
        </w:rPr>
        <w:t>：</w:t>
      </w:r>
      <w:r w:rsidR="00F967E8" w:rsidRPr="002D1C8A">
        <w:rPr>
          <w:rFonts w:ascii="宋体" w:eastAsia="宋体" w:hAnsi="宋体"/>
          <w:color w:val="auto"/>
          <w:sz w:val="28"/>
          <w:szCs w:val="28"/>
        </w:rPr>
        <w:t>该项经费于年中追加。</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5</w:t>
      </w:r>
      <w:r w:rsidR="002D1C8A" w:rsidRPr="002D1C8A">
        <w:rPr>
          <w:rFonts w:ascii="宋体" w:eastAsia="宋体" w:hAnsi="宋体"/>
          <w:color w:val="auto"/>
          <w:sz w:val="28"/>
          <w:szCs w:val="28"/>
        </w:rPr>
        <w:t>、</w:t>
      </w:r>
      <w:r w:rsidR="00EC5189">
        <w:rPr>
          <w:rFonts w:ascii="宋体" w:eastAsia="宋体" w:hAnsi="宋体"/>
          <w:color w:val="auto"/>
          <w:sz w:val="28"/>
          <w:szCs w:val="28"/>
        </w:rPr>
        <w:t>教育支出（类）普通教育（款）高等教育（项）</w:t>
      </w:r>
    </w:p>
    <w:p w:rsidR="00B87C8A" w:rsidRDefault="00EC5189" w:rsidP="00EC5189">
      <w:pPr>
        <w:pStyle w:val="Default"/>
        <w:spacing w:line="360" w:lineRule="auto"/>
        <w:ind w:firstLineChars="200" w:firstLine="560"/>
        <w:rPr>
          <w:rFonts w:ascii="宋体" w:eastAsia="宋体" w:hAnsi="宋体" w:hint="default"/>
          <w:color w:val="auto"/>
          <w:sz w:val="28"/>
          <w:szCs w:val="28"/>
        </w:rPr>
      </w:pPr>
      <w:r w:rsidRPr="00E22C59">
        <w:rPr>
          <w:rFonts w:ascii="宋体" w:eastAsia="宋体" w:hAnsi="宋体"/>
          <w:color w:val="auto"/>
          <w:sz w:val="28"/>
          <w:szCs w:val="28"/>
        </w:rPr>
        <w:t>年初预算为43329.32万元，支出决算为43446.28万元，完成年初预算的100.27%。</w:t>
      </w:r>
      <w:r w:rsidRPr="00E22C59">
        <w:rPr>
          <w:rFonts w:ascii="宋体" w:eastAsia="宋体" w:hAnsi="宋体"/>
          <w:color w:val="000000" w:themeColor="text1"/>
          <w:sz w:val="28"/>
          <w:szCs w:val="28"/>
        </w:rPr>
        <w:t>决算数大于预算数的主要原因</w:t>
      </w:r>
      <w:r w:rsidR="002D1C8A" w:rsidRPr="00E22C59">
        <w:rPr>
          <w:rFonts w:ascii="宋体" w:eastAsia="宋体" w:hAnsi="宋体"/>
          <w:color w:val="000000" w:themeColor="text1"/>
          <w:sz w:val="28"/>
          <w:szCs w:val="28"/>
        </w:rPr>
        <w:t>是</w:t>
      </w:r>
      <w:r w:rsidR="002D1C8A" w:rsidRPr="00E22C59">
        <w:rPr>
          <w:rFonts w:ascii="宋体" w:eastAsia="宋体" w:hAnsi="宋体"/>
          <w:color w:val="auto"/>
          <w:sz w:val="28"/>
          <w:szCs w:val="28"/>
        </w:rPr>
        <w:t>：年中追加“十四五”基建专项、中央支持地方高校建设专项、高校学生奖助学金、教育部预科生培养经费及其他财政专项经费。</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6</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科学技术支出（类）基础研究（款）自然科学基金（项）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年初预算为0万元，支出决算为85万元，决算数大于预算数的</w:t>
      </w:r>
      <w:r w:rsidRPr="0052056A">
        <w:rPr>
          <w:rFonts w:ascii="宋体" w:eastAsia="宋体" w:hAnsi="宋体"/>
          <w:color w:val="000000" w:themeColor="text1"/>
          <w:sz w:val="28"/>
          <w:szCs w:val="28"/>
        </w:rPr>
        <w:t>主要原因</w:t>
      </w:r>
      <w:r w:rsidRPr="00EC5189">
        <w:rPr>
          <w:rFonts w:ascii="宋体" w:eastAsia="宋体" w:hAnsi="宋体"/>
          <w:color w:val="auto"/>
          <w:sz w:val="28"/>
          <w:szCs w:val="28"/>
        </w:rPr>
        <w:t>是</w:t>
      </w:r>
      <w:r w:rsidR="002D1C8A" w:rsidRPr="002D1C8A">
        <w:rPr>
          <w:rFonts w:ascii="宋体" w:eastAsia="宋体" w:hAnsi="宋体"/>
          <w:color w:val="auto"/>
          <w:sz w:val="28"/>
          <w:szCs w:val="28"/>
        </w:rPr>
        <w:t>：该项经费于年中追加。</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7</w:t>
      </w:r>
      <w:r w:rsidR="002D1C8A" w:rsidRPr="002D1C8A">
        <w:rPr>
          <w:rFonts w:ascii="宋体" w:eastAsia="宋体" w:hAnsi="宋体"/>
          <w:color w:val="auto"/>
          <w:sz w:val="28"/>
          <w:szCs w:val="28"/>
        </w:rPr>
        <w:t>、</w:t>
      </w:r>
      <w:r w:rsidR="00EC5189" w:rsidRPr="00EC5189">
        <w:rPr>
          <w:rFonts w:ascii="宋体" w:eastAsia="宋体" w:hAnsi="宋体"/>
          <w:color w:val="auto"/>
          <w:sz w:val="28"/>
          <w:szCs w:val="28"/>
        </w:rPr>
        <w:t>科学技术</w:t>
      </w:r>
      <w:r w:rsidR="00EC5189">
        <w:rPr>
          <w:rFonts w:ascii="宋体" w:eastAsia="宋体" w:hAnsi="宋体"/>
          <w:color w:val="auto"/>
          <w:sz w:val="28"/>
          <w:szCs w:val="28"/>
        </w:rPr>
        <w:t>支出（类）科技条件与服务（款）其他科技条件与服务支出（项）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年初预算为0万元，支出决算为60万元，决算数大于预算数的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B87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8</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科学技术支出（类）社会科学（款）其他社会科学支出（项）</w:t>
      </w:r>
    </w:p>
    <w:p w:rsidR="00EC5189"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年初预算为0万元，支出决算为69.5万元，决算数大于预算数的</w:t>
      </w:r>
      <w:r w:rsidRPr="0052056A">
        <w:rPr>
          <w:rFonts w:ascii="宋体" w:eastAsia="宋体" w:hAnsi="宋体"/>
          <w:color w:val="000000" w:themeColor="text1"/>
          <w:sz w:val="28"/>
          <w:szCs w:val="28"/>
        </w:rPr>
        <w:t>主要原因</w:t>
      </w:r>
      <w:r w:rsidRPr="00EC5189">
        <w:rPr>
          <w:rFonts w:ascii="宋体" w:eastAsia="宋体" w:hAnsi="宋体"/>
          <w:color w:val="auto"/>
          <w:sz w:val="28"/>
          <w:szCs w:val="28"/>
        </w:rPr>
        <w:t>是</w:t>
      </w:r>
      <w:r>
        <w:rPr>
          <w:rFonts w:ascii="宋体" w:eastAsia="宋体" w:hAnsi="宋体"/>
          <w:color w:val="auto"/>
          <w:sz w:val="28"/>
          <w:szCs w:val="28"/>
        </w:rPr>
        <w:t>：</w:t>
      </w:r>
      <w:r w:rsidR="004B40B1" w:rsidRPr="002D1C8A">
        <w:rPr>
          <w:rFonts w:ascii="宋体" w:eastAsia="宋体" w:hAnsi="宋体"/>
          <w:color w:val="auto"/>
          <w:sz w:val="28"/>
          <w:szCs w:val="28"/>
        </w:rPr>
        <w:t>该项经费于年中追加。</w:t>
      </w:r>
    </w:p>
    <w:p w:rsidR="00B87C8A" w:rsidRPr="002D1C8A" w:rsidRDefault="00AD5EDE"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9</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科学技术支出（类）科学技术普及（款）其他科学技术普及支</w:t>
      </w:r>
      <w:r w:rsidR="00EC5189">
        <w:rPr>
          <w:rFonts w:ascii="宋体" w:eastAsia="宋体" w:hAnsi="宋体"/>
          <w:color w:val="auto"/>
          <w:sz w:val="28"/>
          <w:szCs w:val="28"/>
        </w:rPr>
        <w:lastRenderedPageBreak/>
        <w:t>出（项）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年初预算为0万元，支出决算为2万元，决算数大于预算数的</w:t>
      </w:r>
      <w:r w:rsidRPr="0052056A">
        <w:rPr>
          <w:rFonts w:ascii="宋体" w:eastAsia="宋体" w:hAnsi="宋体"/>
          <w:color w:val="000000" w:themeColor="text1"/>
          <w:sz w:val="28"/>
          <w:szCs w:val="28"/>
        </w:rPr>
        <w:t>主要原因是</w:t>
      </w:r>
      <w:r w:rsidR="002D1C8A" w:rsidRPr="0052056A">
        <w:rPr>
          <w:rFonts w:ascii="宋体" w:eastAsia="宋体" w:hAnsi="宋体"/>
          <w:color w:val="000000" w:themeColor="text1"/>
          <w:sz w:val="28"/>
          <w:szCs w:val="28"/>
        </w:rPr>
        <w:t>：</w:t>
      </w:r>
      <w:r w:rsidR="002D1C8A" w:rsidRPr="002D1C8A">
        <w:rPr>
          <w:rFonts w:ascii="宋体" w:eastAsia="宋体" w:hAnsi="宋体"/>
          <w:color w:val="auto"/>
          <w:sz w:val="28"/>
          <w:szCs w:val="28"/>
        </w:rPr>
        <w:t>该项经费于年中追加。</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10</w:t>
      </w:r>
      <w:r w:rsidR="002D1C8A" w:rsidRPr="002D1C8A">
        <w:rPr>
          <w:rFonts w:ascii="宋体" w:eastAsia="宋体" w:hAnsi="宋体"/>
          <w:color w:val="auto"/>
          <w:sz w:val="28"/>
          <w:szCs w:val="28"/>
        </w:rPr>
        <w:t>、</w:t>
      </w:r>
      <w:r>
        <w:rPr>
          <w:rFonts w:ascii="宋体" w:eastAsia="宋体" w:hAnsi="宋体"/>
          <w:color w:val="auto"/>
          <w:sz w:val="28"/>
          <w:szCs w:val="28"/>
        </w:rPr>
        <w:t>科学技术支出（类）科技重大项目（款）重点研发计划（项）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年初预算为0万元，支出决算为50万元，决算数大于预算数的</w:t>
      </w:r>
      <w:r w:rsidRPr="0052056A">
        <w:rPr>
          <w:rFonts w:ascii="宋体" w:eastAsia="宋体" w:hAnsi="宋体"/>
          <w:color w:val="000000" w:themeColor="text1"/>
          <w:sz w:val="28"/>
          <w:szCs w:val="28"/>
        </w:rPr>
        <w:t>主要原因是：</w:t>
      </w:r>
      <w:r w:rsidR="004B40B1"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1</w:t>
      </w:r>
      <w:r w:rsidRPr="002D1C8A">
        <w:rPr>
          <w:rFonts w:ascii="宋体" w:eastAsia="宋体" w:hAnsi="宋体"/>
          <w:color w:val="auto"/>
          <w:sz w:val="28"/>
          <w:szCs w:val="28"/>
        </w:rPr>
        <w:t>、</w:t>
      </w:r>
      <w:r w:rsidR="00AD5EDE" w:rsidRPr="00AD5EDE">
        <w:rPr>
          <w:rFonts w:ascii="宋体" w:eastAsia="宋体" w:hAnsi="宋体"/>
          <w:color w:val="auto"/>
          <w:sz w:val="28"/>
          <w:szCs w:val="28"/>
        </w:rPr>
        <w:t>科学技术支出（类）其他科学技术支出（款）其他科学技术支</w:t>
      </w:r>
      <w:r w:rsidR="00AD5EDE">
        <w:rPr>
          <w:rFonts w:ascii="宋体" w:eastAsia="宋体" w:hAnsi="宋体"/>
          <w:color w:val="auto"/>
          <w:sz w:val="28"/>
          <w:szCs w:val="28"/>
        </w:rPr>
        <w:t>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年初预算为0万元，支出决算为40万元，决算数大于预算数的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2</w:t>
      </w:r>
      <w:r w:rsidRPr="002D1C8A">
        <w:rPr>
          <w:rFonts w:ascii="宋体" w:eastAsia="宋体" w:hAnsi="宋体"/>
          <w:color w:val="auto"/>
          <w:sz w:val="28"/>
          <w:szCs w:val="28"/>
        </w:rPr>
        <w:t>、</w:t>
      </w:r>
      <w:r w:rsidR="00AD5EDE" w:rsidRPr="00AD5EDE">
        <w:rPr>
          <w:rFonts w:ascii="宋体" w:eastAsia="宋体" w:hAnsi="宋体"/>
          <w:color w:val="auto"/>
          <w:sz w:val="28"/>
          <w:szCs w:val="28"/>
        </w:rPr>
        <w:t>文</w:t>
      </w:r>
      <w:r w:rsidR="00AD5EDE">
        <w:rPr>
          <w:rFonts w:ascii="宋体" w:eastAsia="宋体" w:hAnsi="宋体"/>
          <w:color w:val="auto"/>
          <w:sz w:val="28"/>
          <w:szCs w:val="28"/>
        </w:rPr>
        <w:t>化旅游体育与传媒支出（类）文化和旅游（款）文化创作与保护（项）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年初预算为0万元，支出决算为50万元，决算数大于预算数的</w:t>
      </w:r>
      <w:r w:rsidRPr="0052056A">
        <w:rPr>
          <w:rFonts w:ascii="宋体" w:eastAsia="宋体" w:hAnsi="宋体"/>
          <w:color w:val="000000" w:themeColor="text1"/>
          <w:sz w:val="28"/>
          <w:szCs w:val="28"/>
        </w:rPr>
        <w:t>主要原因是</w:t>
      </w:r>
      <w:r w:rsidR="004B40B1">
        <w:rPr>
          <w:rFonts w:ascii="宋体" w:eastAsia="宋体" w:hAnsi="宋体"/>
          <w:color w:val="auto"/>
          <w:sz w:val="28"/>
          <w:szCs w:val="28"/>
        </w:rPr>
        <w:t>：</w:t>
      </w:r>
      <w:r w:rsidR="004B40B1" w:rsidRPr="004B40B1">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3</w:t>
      </w:r>
      <w:r w:rsidRPr="002D1C8A">
        <w:rPr>
          <w:rFonts w:ascii="宋体" w:eastAsia="宋体" w:hAnsi="宋体"/>
          <w:color w:val="auto"/>
          <w:sz w:val="28"/>
          <w:szCs w:val="28"/>
        </w:rPr>
        <w:t>、</w:t>
      </w:r>
      <w:r w:rsidR="00AD5EDE">
        <w:rPr>
          <w:rFonts w:ascii="宋体" w:eastAsia="宋体" w:hAnsi="宋体"/>
          <w:color w:val="auto"/>
          <w:sz w:val="28"/>
          <w:szCs w:val="28"/>
        </w:rPr>
        <w:t>社会保障和就业支出（类）就业补助（款）其他就业补助支出（项）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年初预算为0万元，支出决算为18.4万元，决算数大于预算数的</w:t>
      </w:r>
      <w:r w:rsidRPr="0052056A">
        <w:rPr>
          <w:rFonts w:ascii="宋体" w:eastAsia="宋体" w:hAnsi="宋体"/>
          <w:color w:val="000000" w:themeColor="text1"/>
          <w:sz w:val="28"/>
          <w:szCs w:val="28"/>
        </w:rPr>
        <w:t>主要原因</w:t>
      </w:r>
      <w:r w:rsidRPr="00AD5EDE">
        <w:rPr>
          <w:rFonts w:ascii="宋体" w:eastAsia="宋体" w:hAnsi="宋体"/>
          <w:color w:val="auto"/>
          <w:sz w:val="28"/>
          <w:szCs w:val="28"/>
        </w:rPr>
        <w:t>是</w:t>
      </w:r>
      <w:r w:rsidR="00DE490E" w:rsidRPr="004B40B1">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4</w:t>
      </w:r>
      <w:r w:rsidRPr="002D1C8A">
        <w:rPr>
          <w:rFonts w:ascii="宋体" w:eastAsia="宋体" w:hAnsi="宋体"/>
          <w:color w:val="auto"/>
          <w:sz w:val="28"/>
          <w:szCs w:val="28"/>
        </w:rPr>
        <w:t>、</w:t>
      </w:r>
      <w:r w:rsidR="00AD5EDE" w:rsidRPr="00AD5EDE">
        <w:rPr>
          <w:rFonts w:ascii="宋体" w:eastAsia="宋体" w:hAnsi="宋体"/>
          <w:color w:val="auto"/>
          <w:sz w:val="28"/>
          <w:szCs w:val="28"/>
        </w:rPr>
        <w:t>社会保障和就业支出</w:t>
      </w:r>
      <w:r w:rsidR="00AD5EDE">
        <w:rPr>
          <w:rFonts w:ascii="宋体" w:eastAsia="宋体" w:hAnsi="宋体"/>
          <w:color w:val="auto"/>
          <w:sz w:val="28"/>
          <w:szCs w:val="28"/>
        </w:rPr>
        <w:t>（类）其他社会保障和就业支出（款）其他社会保障和就业支出（项）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年初预算为0万元，支出决算为0.98万元，决算数大于预算数的</w:t>
      </w:r>
      <w:r w:rsidRPr="0052056A">
        <w:rPr>
          <w:rFonts w:ascii="宋体" w:eastAsia="宋体" w:hAnsi="宋体"/>
          <w:color w:val="000000" w:themeColor="text1"/>
          <w:sz w:val="28"/>
          <w:szCs w:val="28"/>
        </w:rPr>
        <w:t>主要原因</w:t>
      </w:r>
      <w:r w:rsidRPr="00AD5EDE">
        <w:rPr>
          <w:rFonts w:ascii="宋体" w:eastAsia="宋体" w:hAnsi="宋体"/>
          <w:color w:val="auto"/>
          <w:sz w:val="28"/>
          <w:szCs w:val="28"/>
        </w:rPr>
        <w:t>是</w:t>
      </w:r>
      <w:r>
        <w:rPr>
          <w:rFonts w:ascii="宋体" w:eastAsia="宋体" w:hAnsi="宋体"/>
          <w:color w:val="auto"/>
          <w:sz w:val="28"/>
          <w:szCs w:val="28"/>
        </w:rPr>
        <w:t>：</w:t>
      </w:r>
      <w:r w:rsidR="00DE490E" w:rsidRPr="004B40B1">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5</w:t>
      </w:r>
      <w:r w:rsidRPr="002D1C8A">
        <w:rPr>
          <w:rFonts w:ascii="宋体" w:eastAsia="宋体" w:hAnsi="宋体"/>
          <w:color w:val="auto"/>
          <w:sz w:val="28"/>
          <w:szCs w:val="28"/>
        </w:rPr>
        <w:t>、</w:t>
      </w:r>
      <w:r w:rsidR="00AD5EDE">
        <w:rPr>
          <w:rFonts w:ascii="宋体" w:eastAsia="宋体" w:hAnsi="宋体"/>
          <w:color w:val="auto"/>
          <w:sz w:val="28"/>
          <w:szCs w:val="28"/>
        </w:rPr>
        <w:t>卫生健康支出（类）公共卫生（款）其他公共卫生支出（项）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年初预算为125.6万元，支出决算为519.39万元</w:t>
      </w:r>
      <w:r w:rsidR="003009D3" w:rsidRPr="003009D3">
        <w:rPr>
          <w:rFonts w:ascii="宋体" w:eastAsia="宋体" w:hAnsi="宋体"/>
          <w:color w:val="auto"/>
          <w:sz w:val="28"/>
          <w:szCs w:val="28"/>
        </w:rPr>
        <w:t>，</w:t>
      </w:r>
      <w:r w:rsidRPr="00AD5EDE">
        <w:rPr>
          <w:rFonts w:ascii="宋体" w:eastAsia="宋体" w:hAnsi="宋体"/>
          <w:color w:val="auto"/>
          <w:sz w:val="28"/>
          <w:szCs w:val="28"/>
        </w:rPr>
        <w:t>决算数大于预算</w:t>
      </w:r>
      <w:r w:rsidRPr="00AD5EDE">
        <w:rPr>
          <w:rFonts w:ascii="宋体" w:eastAsia="宋体" w:hAnsi="宋体"/>
          <w:color w:val="auto"/>
          <w:sz w:val="28"/>
          <w:szCs w:val="28"/>
        </w:rPr>
        <w:lastRenderedPageBreak/>
        <w:t>数的</w:t>
      </w:r>
      <w:r w:rsidRPr="0052056A">
        <w:rPr>
          <w:rFonts w:ascii="宋体" w:eastAsia="宋体" w:hAnsi="宋体"/>
          <w:color w:val="000000" w:themeColor="text1"/>
          <w:sz w:val="28"/>
          <w:szCs w:val="28"/>
        </w:rPr>
        <w:t>主要原因</w:t>
      </w:r>
      <w:r w:rsidRPr="00AD5EDE">
        <w:rPr>
          <w:rFonts w:ascii="宋体" w:eastAsia="宋体" w:hAnsi="宋体"/>
          <w:color w:val="auto"/>
          <w:sz w:val="28"/>
          <w:szCs w:val="28"/>
        </w:rPr>
        <w:t>是</w:t>
      </w:r>
      <w:r>
        <w:rPr>
          <w:rFonts w:ascii="宋体" w:eastAsia="宋体" w:hAnsi="宋体"/>
          <w:color w:val="auto"/>
          <w:sz w:val="28"/>
          <w:szCs w:val="28"/>
        </w:rPr>
        <w:t>：</w:t>
      </w:r>
      <w:r w:rsidR="002D1C8A" w:rsidRPr="002D1C8A">
        <w:rPr>
          <w:rFonts w:ascii="宋体" w:eastAsia="宋体" w:hAnsi="宋体"/>
          <w:color w:val="auto"/>
          <w:sz w:val="28"/>
          <w:szCs w:val="28"/>
        </w:rPr>
        <w:t>该项经费于年中追加。</w:t>
      </w:r>
    </w:p>
    <w:p w:rsidR="00B87C8A" w:rsidRPr="002D1C8A" w:rsidRDefault="002D1C8A" w:rsidP="00AD5EDE">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6</w:t>
      </w:r>
      <w:r w:rsidRPr="002D1C8A">
        <w:rPr>
          <w:rFonts w:ascii="宋体" w:eastAsia="宋体" w:hAnsi="宋体"/>
          <w:color w:val="auto"/>
          <w:sz w:val="28"/>
          <w:szCs w:val="28"/>
        </w:rPr>
        <w:t>、</w:t>
      </w:r>
      <w:r w:rsidR="00AD5EDE" w:rsidRPr="00AD5EDE">
        <w:rPr>
          <w:rFonts w:ascii="宋体" w:eastAsia="宋体" w:hAnsi="宋体"/>
          <w:color w:val="auto"/>
          <w:sz w:val="28"/>
          <w:szCs w:val="28"/>
        </w:rPr>
        <w:t>卫生健康支出（类）中医药（款）中医（民族</w:t>
      </w:r>
      <w:proofErr w:type="gramStart"/>
      <w:r w:rsidR="00AD5EDE" w:rsidRPr="00AD5EDE">
        <w:rPr>
          <w:rFonts w:ascii="宋体" w:eastAsia="宋体" w:hAnsi="宋体"/>
          <w:color w:val="auto"/>
          <w:sz w:val="28"/>
          <w:szCs w:val="28"/>
        </w:rPr>
        <w:t>医</w:t>
      </w:r>
      <w:proofErr w:type="gramEnd"/>
      <w:r w:rsidR="00AD5EDE" w:rsidRPr="00AD5EDE">
        <w:rPr>
          <w:rFonts w:ascii="宋体" w:eastAsia="宋体" w:hAnsi="宋体"/>
          <w:color w:val="auto"/>
          <w:sz w:val="28"/>
          <w:szCs w:val="28"/>
        </w:rPr>
        <w:t>）药专项（项）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年初预算为0万元，支出决算为2万元，决算数大于预算数的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7</w:t>
      </w:r>
      <w:r w:rsidRPr="002D1C8A">
        <w:rPr>
          <w:rFonts w:ascii="宋体" w:eastAsia="宋体" w:hAnsi="宋体"/>
          <w:color w:val="auto"/>
          <w:sz w:val="28"/>
          <w:szCs w:val="28"/>
        </w:rPr>
        <w:t>、</w:t>
      </w:r>
      <w:r w:rsidR="00AD5EDE" w:rsidRPr="00AD5EDE">
        <w:rPr>
          <w:rFonts w:ascii="宋体" w:eastAsia="宋体" w:hAnsi="宋体"/>
          <w:color w:val="auto"/>
          <w:sz w:val="28"/>
          <w:szCs w:val="28"/>
        </w:rPr>
        <w:t>卫生健康支出（类）其他卫生健康支出（款）其他卫生健康支出（项）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年初预算为0万元，支出决算为2万元，决算数大于预算数的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AD5EDE">
        <w:rPr>
          <w:rFonts w:ascii="宋体" w:eastAsia="宋体" w:hAnsi="宋体"/>
          <w:color w:val="auto"/>
          <w:sz w:val="28"/>
          <w:szCs w:val="28"/>
        </w:rPr>
        <w:t>8</w:t>
      </w:r>
      <w:r w:rsidRPr="002D1C8A">
        <w:rPr>
          <w:rFonts w:ascii="宋体" w:eastAsia="宋体" w:hAnsi="宋体"/>
          <w:color w:val="auto"/>
          <w:sz w:val="28"/>
          <w:szCs w:val="28"/>
        </w:rPr>
        <w:t>、</w:t>
      </w:r>
      <w:r w:rsidR="00AD5EDE" w:rsidRPr="00AD5EDE">
        <w:rPr>
          <w:rFonts w:ascii="宋体" w:eastAsia="宋体" w:hAnsi="宋体"/>
          <w:color w:val="auto"/>
          <w:sz w:val="28"/>
          <w:szCs w:val="28"/>
        </w:rPr>
        <w:t>农林</w:t>
      </w:r>
      <w:r w:rsidR="00AD5EDE">
        <w:rPr>
          <w:rFonts w:ascii="宋体" w:eastAsia="宋体" w:hAnsi="宋体"/>
          <w:color w:val="auto"/>
          <w:sz w:val="28"/>
          <w:szCs w:val="28"/>
        </w:rPr>
        <w:t>水支出（类）城市基础设施配套</w:t>
      </w:r>
      <w:proofErr w:type="gramStart"/>
      <w:r w:rsidR="00AD5EDE">
        <w:rPr>
          <w:rFonts w:ascii="宋体" w:eastAsia="宋体" w:hAnsi="宋体"/>
          <w:color w:val="auto"/>
          <w:sz w:val="28"/>
          <w:szCs w:val="28"/>
        </w:rPr>
        <w:t>费安排</w:t>
      </w:r>
      <w:proofErr w:type="gramEnd"/>
      <w:r w:rsidR="00AD5EDE">
        <w:rPr>
          <w:rFonts w:ascii="宋体" w:eastAsia="宋体" w:hAnsi="宋体"/>
          <w:color w:val="auto"/>
          <w:sz w:val="28"/>
          <w:szCs w:val="28"/>
        </w:rPr>
        <w:t>的支出（款）动植物保护（项）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年初预算为20万元，支出决算为20万元，完成年初预算的100%。  决算数与预算数一致，我单位严格按预算执行决算。</w:t>
      </w:r>
    </w:p>
    <w:p w:rsidR="00B87C8A" w:rsidRDefault="002D1C8A">
      <w:pPr>
        <w:pStyle w:val="Default"/>
        <w:spacing w:line="360" w:lineRule="auto"/>
        <w:ind w:firstLineChars="200" w:firstLine="640"/>
        <w:rPr>
          <w:rFonts w:hint="default"/>
          <w:color w:val="auto"/>
          <w:sz w:val="32"/>
          <w:szCs w:val="32"/>
        </w:rPr>
      </w:pPr>
      <w:r w:rsidRPr="007402CC">
        <w:rPr>
          <w:color w:val="auto"/>
          <w:sz w:val="32"/>
          <w:szCs w:val="32"/>
        </w:rPr>
        <w:t>六、一般公共预算财政拨款基本支出决算情况说明</w:t>
      </w:r>
    </w:p>
    <w:p w:rsidR="00AD474E" w:rsidRDefault="00AD474E" w:rsidP="00AD474E">
      <w:pPr>
        <w:pStyle w:val="Default"/>
        <w:spacing w:line="360" w:lineRule="auto"/>
        <w:ind w:firstLineChars="200" w:firstLine="560"/>
        <w:rPr>
          <w:rFonts w:hint="default"/>
        </w:rPr>
      </w:pPr>
      <w:r w:rsidRPr="00AD474E">
        <w:rPr>
          <w:rFonts w:ascii="宋体" w:eastAsia="宋体" w:hAnsi="宋体"/>
          <w:color w:val="auto"/>
          <w:sz w:val="28"/>
          <w:szCs w:val="28"/>
          <w:lang w:val="zh-CN"/>
        </w:rPr>
        <w:t>2022年度</w:t>
      </w:r>
      <w:r w:rsidRPr="00AD474E">
        <w:rPr>
          <w:rFonts w:ascii="宋体" w:eastAsia="宋体" w:hAnsi="宋体"/>
          <w:color w:val="auto"/>
          <w:sz w:val="28"/>
          <w:szCs w:val="28"/>
        </w:rPr>
        <w:t>财政拨款基本支出25661.85万元，其中:</w:t>
      </w:r>
    </w:p>
    <w:p w:rsidR="00AD474E" w:rsidRDefault="00AD474E" w:rsidP="00AD474E">
      <w:pPr>
        <w:pStyle w:val="Default"/>
        <w:spacing w:line="360" w:lineRule="auto"/>
        <w:ind w:firstLineChars="200" w:firstLine="560"/>
        <w:rPr>
          <w:rFonts w:ascii="宋体" w:eastAsia="宋体" w:hAnsi="宋体" w:hint="default"/>
          <w:color w:val="auto"/>
          <w:sz w:val="28"/>
          <w:szCs w:val="28"/>
        </w:rPr>
      </w:pPr>
      <w:r w:rsidRPr="00AD474E">
        <w:rPr>
          <w:rFonts w:ascii="宋体" w:eastAsia="宋体" w:hAnsi="宋体"/>
          <w:color w:val="auto"/>
          <w:sz w:val="28"/>
          <w:szCs w:val="28"/>
        </w:rPr>
        <w:t>人员经费23887.74万元，</w:t>
      </w:r>
      <w:proofErr w:type="gramStart"/>
      <w:r w:rsidRPr="00AD474E">
        <w:rPr>
          <w:rFonts w:ascii="宋体" w:eastAsia="宋体" w:hAnsi="宋体"/>
          <w:color w:val="auto"/>
          <w:sz w:val="28"/>
          <w:szCs w:val="28"/>
        </w:rPr>
        <w:t>占基本</w:t>
      </w:r>
      <w:proofErr w:type="gramEnd"/>
      <w:r w:rsidRPr="00AD474E">
        <w:rPr>
          <w:rFonts w:ascii="宋体" w:eastAsia="宋体" w:hAnsi="宋体"/>
          <w:color w:val="auto"/>
          <w:sz w:val="28"/>
          <w:szCs w:val="28"/>
        </w:rPr>
        <w:t>支出的93.09%，主要包括基本工资、津贴补贴、伙食补助费、绩效工资、机关事业单位基本养老保险缴费、住房公积金、其他工资福利支出、离休费、</w:t>
      </w:r>
      <w:r w:rsidR="00556574">
        <w:rPr>
          <w:rFonts w:ascii="宋体" w:eastAsia="宋体" w:hAnsi="宋体"/>
          <w:color w:val="auto"/>
          <w:sz w:val="28"/>
          <w:szCs w:val="28"/>
        </w:rPr>
        <w:t>抚恤金、生活补助、医疗费补助。</w:t>
      </w:r>
    </w:p>
    <w:p w:rsidR="00AD474E" w:rsidRPr="00AD474E" w:rsidRDefault="00AD474E" w:rsidP="00AD474E">
      <w:pPr>
        <w:pStyle w:val="Default"/>
        <w:spacing w:line="360" w:lineRule="auto"/>
        <w:ind w:firstLineChars="200" w:firstLine="560"/>
        <w:rPr>
          <w:rFonts w:ascii="宋体" w:eastAsia="宋体" w:hAnsi="宋体" w:hint="default"/>
          <w:color w:val="auto"/>
          <w:sz w:val="28"/>
          <w:szCs w:val="28"/>
        </w:rPr>
      </w:pPr>
      <w:r w:rsidRPr="00AD474E">
        <w:rPr>
          <w:rFonts w:ascii="宋体" w:eastAsia="宋体" w:hAnsi="宋体"/>
          <w:color w:val="auto"/>
          <w:sz w:val="28"/>
          <w:szCs w:val="28"/>
        </w:rPr>
        <w:t>公用经费1774.11万元，</w:t>
      </w:r>
      <w:proofErr w:type="gramStart"/>
      <w:r w:rsidRPr="00AD474E">
        <w:rPr>
          <w:rFonts w:ascii="宋体" w:eastAsia="宋体" w:hAnsi="宋体"/>
          <w:color w:val="auto"/>
          <w:sz w:val="28"/>
          <w:szCs w:val="28"/>
        </w:rPr>
        <w:t>占基本</w:t>
      </w:r>
      <w:proofErr w:type="gramEnd"/>
      <w:r w:rsidRPr="00AD474E">
        <w:rPr>
          <w:rFonts w:ascii="宋体" w:eastAsia="宋体" w:hAnsi="宋体"/>
          <w:color w:val="auto"/>
          <w:sz w:val="28"/>
          <w:szCs w:val="28"/>
        </w:rPr>
        <w:t>支出的6.91%，主要包括办公费、印刷费、手续费、水费、电费、邮电费、物业管理费、差旅费、公务接待费、专用材料费、劳务费、委托业务费、其他交通费用、其他商品和服务支出。</w:t>
      </w:r>
    </w:p>
    <w:p w:rsidR="00AD474E" w:rsidRDefault="00AD474E" w:rsidP="00AD474E">
      <w:pPr>
        <w:autoSpaceDE w:val="0"/>
        <w:autoSpaceDN w:val="0"/>
        <w:adjustRightInd w:val="0"/>
        <w:spacing w:line="360" w:lineRule="auto"/>
        <w:ind w:firstLineChars="200" w:firstLine="640"/>
        <w:rPr>
          <w:sz w:val="28"/>
          <w:szCs w:val="28"/>
        </w:rPr>
      </w:pPr>
      <w:r>
        <w:rPr>
          <w:rFonts w:ascii="黑体" w:eastAsia="黑体" w:cs="黑体" w:hint="eastAsia"/>
          <w:sz w:val="32"/>
          <w:szCs w:val="32"/>
          <w:lang w:val="zh-CN"/>
        </w:rPr>
        <w:t>七</w:t>
      </w:r>
      <w:r>
        <w:rPr>
          <w:rFonts w:ascii="黑体" w:eastAsia="黑体" w:cs="黑体"/>
          <w:sz w:val="32"/>
          <w:szCs w:val="32"/>
          <w:lang w:val="zh-CN"/>
        </w:rPr>
        <w:t>、政府性基金预算收入支出决算情况</w:t>
      </w:r>
    </w:p>
    <w:p w:rsidR="00AD474E" w:rsidRPr="002D1C8A" w:rsidRDefault="00AD474E" w:rsidP="00AD474E">
      <w:pPr>
        <w:autoSpaceDE w:val="0"/>
        <w:autoSpaceDN w:val="0"/>
        <w:adjustRightInd w:val="0"/>
        <w:spacing w:line="360" w:lineRule="auto"/>
        <w:ind w:firstLineChars="200" w:firstLine="560"/>
        <w:rPr>
          <w:rFonts w:ascii="Times New Roman" w:hAnsi="Times New Roman"/>
          <w:sz w:val="28"/>
          <w:szCs w:val="28"/>
        </w:rPr>
      </w:pPr>
      <w:r>
        <w:rPr>
          <w:sz w:val="28"/>
          <w:szCs w:val="28"/>
          <w:lang w:val="zh-CN"/>
        </w:rPr>
        <w:lastRenderedPageBreak/>
        <w:t>202</w:t>
      </w:r>
      <w:r>
        <w:rPr>
          <w:rFonts w:hint="eastAsia"/>
          <w:sz w:val="28"/>
          <w:szCs w:val="28"/>
          <w:lang w:val="zh-CN"/>
        </w:rPr>
        <w:t>2</w:t>
      </w:r>
      <w:r w:rsidRPr="002D1C8A">
        <w:rPr>
          <w:sz w:val="28"/>
          <w:szCs w:val="28"/>
          <w:lang w:val="zh-CN"/>
        </w:rPr>
        <w:t>年本单位没有使用政府性基金预算财政拨款安排的收支。</w:t>
      </w:r>
    </w:p>
    <w:p w:rsidR="00AD474E" w:rsidRDefault="00AD474E" w:rsidP="00AD474E">
      <w:pPr>
        <w:autoSpaceDE w:val="0"/>
        <w:autoSpaceDN w:val="0"/>
        <w:adjustRightInd w:val="0"/>
        <w:spacing w:line="360" w:lineRule="auto"/>
        <w:ind w:firstLineChars="200" w:firstLine="640"/>
        <w:rPr>
          <w:rFonts w:hAnsi="Times New Roman"/>
          <w:sz w:val="32"/>
          <w:szCs w:val="32"/>
          <w:lang w:val="zh-CN"/>
        </w:rPr>
      </w:pPr>
      <w:r>
        <w:rPr>
          <w:rFonts w:ascii="黑体" w:eastAsia="黑体" w:hAnsi="Times New Roman" w:cs="黑体" w:hint="eastAsia"/>
          <w:sz w:val="32"/>
          <w:szCs w:val="32"/>
          <w:lang w:val="zh-CN"/>
        </w:rPr>
        <w:t>八</w:t>
      </w:r>
      <w:r>
        <w:rPr>
          <w:rFonts w:ascii="黑体" w:eastAsia="黑体" w:hAnsi="Times New Roman" w:cs="黑体"/>
          <w:sz w:val="32"/>
          <w:szCs w:val="32"/>
          <w:lang w:val="zh-CN"/>
        </w:rPr>
        <w:t>、国有资本经营预算财政拨款支出决算情况</w:t>
      </w:r>
    </w:p>
    <w:p w:rsidR="00AD474E" w:rsidRPr="00AD474E" w:rsidRDefault="00AD474E" w:rsidP="00AD474E">
      <w:pPr>
        <w:autoSpaceDE w:val="0"/>
        <w:autoSpaceDN w:val="0"/>
        <w:adjustRightInd w:val="0"/>
        <w:spacing w:line="360" w:lineRule="auto"/>
        <w:ind w:firstLineChars="200" w:firstLine="560"/>
        <w:rPr>
          <w:rFonts w:hAnsi="Times New Roman"/>
          <w:sz w:val="28"/>
          <w:szCs w:val="28"/>
          <w:lang w:val="zh-CN"/>
        </w:rPr>
      </w:pPr>
      <w:r>
        <w:rPr>
          <w:rFonts w:hAnsi="Times New Roman"/>
          <w:sz w:val="28"/>
          <w:szCs w:val="28"/>
          <w:lang w:val="zh-CN"/>
        </w:rPr>
        <w:t>202</w:t>
      </w:r>
      <w:r>
        <w:rPr>
          <w:rFonts w:hAnsi="Times New Roman" w:hint="eastAsia"/>
          <w:sz w:val="28"/>
          <w:szCs w:val="28"/>
          <w:lang w:val="zh-CN"/>
        </w:rPr>
        <w:t>2</w:t>
      </w:r>
      <w:r w:rsidRPr="002D1C8A">
        <w:rPr>
          <w:rFonts w:hAnsi="Times New Roman"/>
          <w:sz w:val="28"/>
          <w:szCs w:val="28"/>
          <w:lang w:val="zh-CN"/>
        </w:rPr>
        <w:t>年本单位没有使用国有资本经营预算安排的支出。</w:t>
      </w:r>
    </w:p>
    <w:p w:rsidR="00B87C8A" w:rsidRDefault="00AD474E" w:rsidP="00AD474E">
      <w:pPr>
        <w:pStyle w:val="Default"/>
        <w:spacing w:line="360" w:lineRule="auto"/>
        <w:ind w:firstLineChars="200" w:firstLine="640"/>
        <w:rPr>
          <w:rFonts w:hint="default"/>
          <w:color w:val="auto"/>
          <w:sz w:val="32"/>
          <w:szCs w:val="32"/>
          <w:lang w:val="zh-CN"/>
        </w:rPr>
      </w:pPr>
      <w:r w:rsidRPr="00AD474E">
        <w:rPr>
          <w:color w:val="auto"/>
          <w:sz w:val="32"/>
          <w:szCs w:val="32"/>
          <w:lang w:val="zh-CN"/>
        </w:rPr>
        <w:t>九、财政拨款“三公”经费支出决算情况说明</w:t>
      </w:r>
    </w:p>
    <w:p w:rsidR="00B87C8A" w:rsidRDefault="002D1C8A">
      <w:pPr>
        <w:pStyle w:val="Default"/>
        <w:spacing w:line="360" w:lineRule="auto"/>
        <w:ind w:firstLineChars="200" w:firstLine="562"/>
        <w:rPr>
          <w:rFonts w:ascii="宋体" w:eastAsia="宋体" w:hAnsi="宋体" w:cs="宋体" w:hint="default"/>
          <w:b/>
          <w:color w:val="auto"/>
          <w:sz w:val="28"/>
          <w:szCs w:val="28"/>
          <w:lang w:val="zh-CN"/>
        </w:rPr>
      </w:pPr>
      <w:r>
        <w:rPr>
          <w:rFonts w:ascii="宋体" w:eastAsia="宋体" w:hAnsi="宋体" w:cs="宋体"/>
          <w:b/>
          <w:color w:val="auto"/>
          <w:sz w:val="28"/>
          <w:szCs w:val="28"/>
          <w:lang w:val="zh-CN"/>
        </w:rPr>
        <w:t>（一）“三公”经费财政拨款支出决算总体情况说明</w:t>
      </w:r>
    </w:p>
    <w:p w:rsidR="00B87C8A" w:rsidRPr="00556574" w:rsidRDefault="00C379C8" w:rsidP="00556574">
      <w:pPr>
        <w:pStyle w:val="Default"/>
        <w:spacing w:line="360" w:lineRule="auto"/>
        <w:ind w:firstLineChars="200" w:firstLine="560"/>
        <w:rPr>
          <w:rFonts w:ascii="宋体" w:eastAsia="宋体" w:hAnsi="宋体" w:hint="default"/>
          <w:color w:val="auto"/>
          <w:sz w:val="28"/>
          <w:szCs w:val="28"/>
        </w:rPr>
      </w:pPr>
      <w:r w:rsidRPr="00C379C8">
        <w:rPr>
          <w:rFonts w:ascii="宋体" w:eastAsia="宋体" w:hAnsi="宋体"/>
          <w:color w:val="auto"/>
          <w:sz w:val="28"/>
          <w:szCs w:val="28"/>
        </w:rPr>
        <w:t>2022年度“三公”经费财政拨款支出预算为25.26万元，支出决算为25.26万元,完成预算的100%</w:t>
      </w:r>
      <w:r>
        <w:rPr>
          <w:rFonts w:ascii="宋体" w:eastAsia="宋体" w:hAnsi="宋体"/>
          <w:color w:val="auto"/>
          <w:sz w:val="28"/>
          <w:szCs w:val="28"/>
        </w:rPr>
        <w:t>，其中</w:t>
      </w:r>
      <w:r w:rsidR="002D1C8A">
        <w:rPr>
          <w:rFonts w:ascii="宋体" w:eastAsia="宋体" w:hAnsi="宋体"/>
          <w:color w:val="auto"/>
          <w:sz w:val="28"/>
          <w:szCs w:val="28"/>
        </w:rPr>
        <w:t>：</w:t>
      </w:r>
      <w:r w:rsidRPr="00C379C8">
        <w:rPr>
          <w:rFonts w:ascii="宋体" w:eastAsia="宋体" w:hAnsi="宋体"/>
          <w:color w:val="auto"/>
          <w:sz w:val="28"/>
          <w:szCs w:val="28"/>
        </w:rPr>
        <w:t>因公出国（境）费支出预算为0万元，支出决算为0万元，</w:t>
      </w:r>
      <w:r w:rsidR="00E5561C">
        <w:rPr>
          <w:rFonts w:ascii="宋体" w:eastAsia="宋体" w:hAnsi="宋体"/>
          <w:color w:val="auto"/>
          <w:sz w:val="28"/>
          <w:szCs w:val="28"/>
        </w:rPr>
        <w:t>2022</w:t>
      </w:r>
      <w:r>
        <w:rPr>
          <w:rFonts w:ascii="宋体" w:eastAsia="宋体" w:hAnsi="宋体"/>
          <w:color w:val="auto"/>
          <w:sz w:val="28"/>
          <w:szCs w:val="28"/>
        </w:rPr>
        <w:t>年无因公</w:t>
      </w:r>
      <w:r w:rsidRPr="00C379C8">
        <w:rPr>
          <w:rFonts w:ascii="宋体" w:eastAsia="宋体" w:hAnsi="宋体"/>
          <w:color w:val="auto"/>
          <w:sz w:val="28"/>
          <w:szCs w:val="28"/>
        </w:rPr>
        <w:t>出国（境）</w:t>
      </w:r>
      <w:r>
        <w:rPr>
          <w:rFonts w:ascii="宋体" w:eastAsia="宋体" w:hAnsi="宋体"/>
          <w:color w:val="auto"/>
          <w:sz w:val="28"/>
          <w:szCs w:val="28"/>
        </w:rPr>
        <w:t>工作任务。</w:t>
      </w:r>
      <w:r w:rsidR="00E5561C" w:rsidRPr="00E5561C">
        <w:rPr>
          <w:rFonts w:ascii="宋体" w:eastAsia="宋体" w:hAnsi="宋体"/>
          <w:color w:val="auto"/>
          <w:sz w:val="28"/>
          <w:szCs w:val="28"/>
        </w:rPr>
        <w:t>公务接待费支出预算为25.26万元，支出决算为25.26万元,与决算持平；完成预算的</w:t>
      </w:r>
      <w:r w:rsidR="00E5561C">
        <w:rPr>
          <w:rFonts w:ascii="宋体" w:eastAsia="宋体" w:hAnsi="宋体"/>
          <w:color w:val="auto"/>
          <w:sz w:val="28"/>
          <w:szCs w:val="28"/>
        </w:rPr>
        <w:t>100%，</w:t>
      </w:r>
      <w:r w:rsidR="00E5561C" w:rsidRPr="00E5561C">
        <w:rPr>
          <w:rFonts w:ascii="宋体" w:eastAsia="宋体" w:hAnsi="宋体"/>
          <w:color w:val="auto"/>
          <w:sz w:val="28"/>
          <w:szCs w:val="28"/>
        </w:rPr>
        <w:t>决算数与预算数一致，我单位严格按预算执行决算。与上年相比增加7.26万元，增长40.33%,增长的</w:t>
      </w:r>
      <w:r w:rsidR="00E5561C" w:rsidRPr="00556574">
        <w:rPr>
          <w:rFonts w:ascii="宋体" w:eastAsia="宋体" w:hAnsi="宋体"/>
          <w:color w:val="000000" w:themeColor="text1"/>
          <w:sz w:val="28"/>
          <w:szCs w:val="28"/>
        </w:rPr>
        <w:t>主要原因</w:t>
      </w:r>
      <w:r w:rsidR="00E5561C" w:rsidRPr="00E5561C">
        <w:rPr>
          <w:rFonts w:ascii="宋体" w:eastAsia="宋体" w:hAnsi="宋体"/>
          <w:color w:val="auto"/>
          <w:sz w:val="28"/>
          <w:szCs w:val="28"/>
        </w:rPr>
        <w:t>是：</w:t>
      </w:r>
      <w:r w:rsidR="003F084F">
        <w:rPr>
          <w:rFonts w:ascii="宋体" w:eastAsia="宋体" w:hAnsi="宋体"/>
          <w:color w:val="auto"/>
          <w:sz w:val="28"/>
          <w:szCs w:val="28"/>
        </w:rPr>
        <w:t>学校办学规模扩大，办学层次提高，</w:t>
      </w:r>
      <w:r w:rsidR="003F084F" w:rsidRPr="003F084F">
        <w:rPr>
          <w:rFonts w:ascii="宋体" w:eastAsia="宋体" w:hAnsi="宋体"/>
          <w:color w:val="auto"/>
          <w:sz w:val="28"/>
          <w:szCs w:val="28"/>
        </w:rPr>
        <w:t>教学及科研</w:t>
      </w:r>
      <w:r w:rsidR="003F084F">
        <w:rPr>
          <w:rFonts w:ascii="宋体" w:eastAsia="宋体" w:hAnsi="宋体"/>
          <w:color w:val="auto"/>
          <w:sz w:val="28"/>
          <w:szCs w:val="28"/>
        </w:rPr>
        <w:t>的</w:t>
      </w:r>
      <w:r w:rsidR="003F084F" w:rsidRPr="003F084F">
        <w:rPr>
          <w:rFonts w:ascii="宋体" w:eastAsia="宋体" w:hAnsi="宋体"/>
          <w:color w:val="auto"/>
          <w:sz w:val="28"/>
          <w:szCs w:val="28"/>
        </w:rPr>
        <w:t>各种交流</w:t>
      </w:r>
      <w:r w:rsidR="003F084F">
        <w:rPr>
          <w:rFonts w:ascii="宋体" w:eastAsia="宋体" w:hAnsi="宋体"/>
          <w:color w:val="auto"/>
          <w:sz w:val="28"/>
          <w:szCs w:val="28"/>
        </w:rPr>
        <w:t>合作</w:t>
      </w:r>
      <w:r w:rsidR="003F084F" w:rsidRPr="003F084F">
        <w:rPr>
          <w:rFonts w:ascii="宋体" w:eastAsia="宋体" w:hAnsi="宋体"/>
          <w:color w:val="auto"/>
          <w:sz w:val="28"/>
          <w:szCs w:val="28"/>
        </w:rPr>
        <w:t>增多</w:t>
      </w:r>
      <w:r w:rsidR="00E5561C" w:rsidRPr="00E5561C">
        <w:rPr>
          <w:rFonts w:ascii="宋体" w:eastAsia="宋体" w:hAnsi="宋体"/>
          <w:color w:val="auto"/>
          <w:sz w:val="28"/>
          <w:szCs w:val="28"/>
        </w:rPr>
        <w:t>。</w:t>
      </w:r>
      <w:r w:rsidR="002D1C8A">
        <w:rPr>
          <w:rFonts w:ascii="宋体" w:eastAsia="宋体" w:hAnsi="宋体"/>
          <w:color w:val="auto"/>
          <w:sz w:val="28"/>
          <w:szCs w:val="28"/>
        </w:rPr>
        <w:t>公务用车购置费及运行维护费支出预算为0万元，支出决算为0万元，与上年情况一致，无公务用车购置费及运行维护费支出预算与决算</w:t>
      </w:r>
      <w:r w:rsidR="003F084F">
        <w:rPr>
          <w:rFonts w:ascii="宋体" w:eastAsia="宋体" w:hAnsi="宋体"/>
          <w:color w:val="auto"/>
          <w:sz w:val="28"/>
          <w:szCs w:val="28"/>
        </w:rPr>
        <w:t>。</w:t>
      </w:r>
    </w:p>
    <w:p w:rsidR="00B87C8A" w:rsidRDefault="002D1C8A">
      <w:pPr>
        <w:pStyle w:val="Default"/>
        <w:spacing w:line="360" w:lineRule="auto"/>
        <w:ind w:firstLineChars="200" w:firstLine="562"/>
        <w:rPr>
          <w:rFonts w:ascii="宋体" w:eastAsia="宋体" w:hAnsi="宋体" w:cs="宋体" w:hint="default"/>
          <w:color w:val="auto"/>
          <w:sz w:val="28"/>
          <w:szCs w:val="28"/>
        </w:rPr>
      </w:pPr>
      <w:r>
        <w:rPr>
          <w:rFonts w:ascii="宋体" w:eastAsia="宋体" w:hAnsi="宋体" w:cs="宋体"/>
          <w:b/>
          <w:color w:val="auto"/>
          <w:sz w:val="28"/>
          <w:szCs w:val="28"/>
          <w:lang w:val="zh-CN"/>
        </w:rPr>
        <w:t>（二）“三公”经费财政拨款支出决算具体情况说明</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2022年度“三公”经费财政拨款支出决算中，因公出国（境）费支出决算0万元，占0%；公务接待费支出决算25.26万元，占100%。公务用车购置费及运行维护费支出决算0万元，占0%</w:t>
      </w:r>
      <w:r>
        <w:rPr>
          <w:rFonts w:ascii="宋体" w:eastAsia="宋体" w:hAnsi="宋体"/>
          <w:color w:val="auto"/>
          <w:sz w:val="28"/>
          <w:szCs w:val="28"/>
        </w:rPr>
        <w:t>。</w:t>
      </w:r>
      <w:r w:rsidR="002D1C8A">
        <w:rPr>
          <w:rFonts w:ascii="宋体" w:eastAsia="宋体" w:hAnsi="宋体"/>
          <w:color w:val="auto"/>
          <w:sz w:val="28"/>
          <w:szCs w:val="28"/>
        </w:rPr>
        <w:t>其中：</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1、因公出国（境）费支出决算0万元，全年安排因公出国（境）团组0个，累计0人次。</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2、公务接待费支出决算为25.26万元，其中：其他国内公务接待支出25.26万元,主要用于与有关单位交流工作情况及接受相关部门检查指导工作发生的接待支出。2022年共接待国内公务接待批次218个、接</w:t>
      </w:r>
      <w:r w:rsidRPr="00E5561C">
        <w:rPr>
          <w:rFonts w:ascii="宋体" w:eastAsia="宋体" w:hAnsi="宋体"/>
          <w:color w:val="auto"/>
          <w:sz w:val="28"/>
          <w:szCs w:val="28"/>
        </w:rPr>
        <w:lastRenderedPageBreak/>
        <w:t>待人次2110人次（不包括陪同人员）。</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3、公务用车购置费及运行维护费支出决算0万元，其中：公务用车购置费0万元，更新公务用车0辆。公务用车运行维护费0元，截止2022年12月31日，我单位开支财政拨款的公务用车保有量为0辆。</w:t>
      </w:r>
    </w:p>
    <w:p w:rsidR="00B87C8A" w:rsidRDefault="002D1C8A">
      <w:pPr>
        <w:autoSpaceDE w:val="0"/>
        <w:autoSpaceDN w:val="0"/>
        <w:adjustRightInd w:val="0"/>
        <w:spacing w:line="360" w:lineRule="auto"/>
        <w:ind w:firstLineChars="200" w:firstLine="640"/>
        <w:rPr>
          <w:rFonts w:hAnsi="Times New Roman"/>
          <w:sz w:val="32"/>
          <w:szCs w:val="32"/>
          <w:lang w:val="zh-CN"/>
        </w:rPr>
      </w:pPr>
      <w:r>
        <w:rPr>
          <w:rFonts w:ascii="黑体" w:eastAsia="黑体" w:hAnsi="Times New Roman" w:cs="黑体"/>
          <w:sz w:val="32"/>
          <w:szCs w:val="32"/>
        </w:rPr>
        <w:t>十、机关运行经费支出说明</w:t>
      </w:r>
    </w:p>
    <w:p w:rsidR="00B87C8A" w:rsidRPr="002D1C8A" w:rsidRDefault="002D1C8A" w:rsidP="002D1C8A">
      <w:pPr>
        <w:autoSpaceDE w:val="0"/>
        <w:autoSpaceDN w:val="0"/>
        <w:adjustRightInd w:val="0"/>
        <w:spacing w:line="360" w:lineRule="auto"/>
        <w:ind w:firstLineChars="200" w:firstLine="560"/>
        <w:rPr>
          <w:rFonts w:hAnsi="Times New Roman"/>
          <w:sz w:val="28"/>
          <w:szCs w:val="28"/>
          <w:lang w:val="zh-CN"/>
        </w:rPr>
      </w:pPr>
      <w:r w:rsidRPr="002D1C8A">
        <w:rPr>
          <w:rFonts w:hAnsi="Times New Roman"/>
          <w:sz w:val="28"/>
          <w:szCs w:val="28"/>
        </w:rPr>
        <w:t>吉首大学单位性质为财政补助事业单位，部门决算报表没有机关运行经费统计数据。</w:t>
      </w:r>
    </w:p>
    <w:p w:rsidR="00B87C8A" w:rsidRPr="003F4204" w:rsidRDefault="002D1C8A">
      <w:pPr>
        <w:autoSpaceDE w:val="0"/>
        <w:autoSpaceDN w:val="0"/>
        <w:adjustRightInd w:val="0"/>
        <w:spacing w:line="360" w:lineRule="auto"/>
        <w:ind w:firstLineChars="200" w:firstLine="640"/>
        <w:rPr>
          <w:rFonts w:hAnsi="Times New Roman"/>
          <w:color w:val="000000" w:themeColor="text1"/>
          <w:sz w:val="32"/>
          <w:szCs w:val="32"/>
          <w:lang w:val="zh-CN"/>
        </w:rPr>
      </w:pPr>
      <w:r w:rsidRPr="003F4204">
        <w:rPr>
          <w:rFonts w:ascii="黑体" w:eastAsia="黑体" w:hAnsi="Times New Roman" w:cs="黑体"/>
          <w:color w:val="000000" w:themeColor="text1"/>
          <w:sz w:val="32"/>
          <w:szCs w:val="32"/>
        </w:rPr>
        <w:t>十一、一般性支出情况</w:t>
      </w:r>
    </w:p>
    <w:p w:rsidR="00B87C8A" w:rsidRPr="002D1C8A" w:rsidRDefault="00C62F1C">
      <w:pPr>
        <w:autoSpaceDE w:val="0"/>
        <w:autoSpaceDN w:val="0"/>
        <w:adjustRightInd w:val="0"/>
        <w:spacing w:line="360" w:lineRule="auto"/>
        <w:ind w:firstLineChars="200" w:firstLine="560"/>
        <w:rPr>
          <w:rFonts w:hAnsi="Times New Roman"/>
          <w:sz w:val="28"/>
          <w:szCs w:val="28"/>
        </w:rPr>
      </w:pPr>
      <w:r>
        <w:rPr>
          <w:sz w:val="28"/>
          <w:szCs w:val="28"/>
        </w:rPr>
        <w:t>202</w:t>
      </w:r>
      <w:r>
        <w:rPr>
          <w:rFonts w:hint="eastAsia"/>
          <w:sz w:val="28"/>
          <w:szCs w:val="28"/>
        </w:rPr>
        <w:t>2</w:t>
      </w:r>
      <w:r w:rsidR="002D1C8A" w:rsidRPr="002D1C8A">
        <w:rPr>
          <w:sz w:val="28"/>
          <w:szCs w:val="28"/>
        </w:rPr>
        <w:t>年本部门</w:t>
      </w:r>
      <w:r w:rsidR="002D1C8A" w:rsidRPr="002D1C8A">
        <w:rPr>
          <w:sz w:val="28"/>
          <w:szCs w:val="28"/>
          <w:lang w:val="zh-CN"/>
        </w:rPr>
        <w:t>一般公共预算财政拨款支出决算</w:t>
      </w:r>
      <w:r w:rsidR="002D1C8A" w:rsidRPr="002D1C8A">
        <w:rPr>
          <w:sz w:val="28"/>
          <w:szCs w:val="28"/>
        </w:rPr>
        <w:t>无</w:t>
      </w:r>
      <w:r w:rsidR="002D1C8A" w:rsidRPr="002D1C8A">
        <w:rPr>
          <w:rFonts w:hAnsi="Times New Roman"/>
          <w:sz w:val="28"/>
          <w:szCs w:val="28"/>
        </w:rPr>
        <w:t>举办节庆、晚会、论坛、赛事活动等相关的</w:t>
      </w:r>
      <w:r w:rsidR="002D1C8A" w:rsidRPr="002D1C8A">
        <w:rPr>
          <w:sz w:val="28"/>
          <w:szCs w:val="28"/>
        </w:rPr>
        <w:t>会议费开支。</w:t>
      </w:r>
    </w:p>
    <w:p w:rsidR="00AB139F" w:rsidRPr="00FD41F4" w:rsidRDefault="002D1C8A" w:rsidP="00FD41F4">
      <w:pPr>
        <w:autoSpaceDE w:val="0"/>
        <w:autoSpaceDN w:val="0"/>
        <w:adjustRightInd w:val="0"/>
        <w:spacing w:line="360" w:lineRule="auto"/>
        <w:ind w:firstLineChars="200" w:firstLine="640"/>
        <w:rPr>
          <w:rFonts w:hAnsi="Times New Roman"/>
          <w:sz w:val="32"/>
          <w:szCs w:val="32"/>
        </w:rPr>
      </w:pPr>
      <w:r>
        <w:rPr>
          <w:rFonts w:ascii="黑体" w:eastAsia="黑体" w:hAnsi="Times New Roman" w:cs="黑体"/>
          <w:sz w:val="32"/>
          <w:szCs w:val="32"/>
        </w:rPr>
        <w:t>十二、关于政府采购支出说明</w:t>
      </w:r>
    </w:p>
    <w:p w:rsidR="00B87C8A" w:rsidRPr="002D1C8A" w:rsidRDefault="00AB139F" w:rsidP="00AB139F">
      <w:pPr>
        <w:autoSpaceDE w:val="0"/>
        <w:autoSpaceDN w:val="0"/>
        <w:adjustRightInd w:val="0"/>
        <w:spacing w:line="360" w:lineRule="auto"/>
        <w:ind w:firstLineChars="200" w:firstLine="560"/>
        <w:rPr>
          <w:rFonts w:hAnsi="Times New Roman"/>
          <w:sz w:val="28"/>
          <w:szCs w:val="28"/>
        </w:rPr>
      </w:pPr>
      <w:r w:rsidRPr="00AB139F">
        <w:rPr>
          <w:rFonts w:hAnsi="Times New Roman"/>
          <w:sz w:val="28"/>
          <w:szCs w:val="28"/>
        </w:rPr>
        <w:t>2022年度政府采购支出总额13941.14万元，其中：政府采购货物支出5172.65万元；政府采购工程支出6703.48万元；政府采购服务支出2065.01万元；授予中小企业合同金额7912.85万元，占政府采购支出总额的56.76%，</w:t>
      </w:r>
      <w:r w:rsidRPr="00AB139F">
        <w:rPr>
          <w:rFonts w:hAnsi="Times New Roman" w:hint="eastAsia"/>
          <w:sz w:val="28"/>
          <w:szCs w:val="28"/>
        </w:rPr>
        <w:t>其中：授予小微企业合同金额</w:t>
      </w:r>
      <w:r w:rsidRPr="00AB139F">
        <w:rPr>
          <w:rFonts w:hAnsi="Times New Roman"/>
          <w:sz w:val="28"/>
          <w:szCs w:val="28"/>
        </w:rPr>
        <w:t>7912.85万元，占授予中小企业合同金额的100%。</w:t>
      </w:r>
    </w:p>
    <w:p w:rsidR="00B87C8A" w:rsidRDefault="002D1C8A">
      <w:pPr>
        <w:autoSpaceDE w:val="0"/>
        <w:autoSpaceDN w:val="0"/>
        <w:adjustRightInd w:val="0"/>
        <w:spacing w:line="360" w:lineRule="auto"/>
        <w:ind w:firstLineChars="200" w:firstLine="640"/>
        <w:rPr>
          <w:rFonts w:hAnsi="Times New Roman"/>
          <w:sz w:val="32"/>
          <w:szCs w:val="32"/>
        </w:rPr>
      </w:pPr>
      <w:r>
        <w:rPr>
          <w:rFonts w:ascii="黑体" w:eastAsia="黑体" w:hAnsi="Times New Roman" w:cs="黑体"/>
          <w:sz w:val="32"/>
          <w:szCs w:val="32"/>
        </w:rPr>
        <w:t>十三、关于国有资产占有情况说明</w:t>
      </w:r>
    </w:p>
    <w:p w:rsidR="00B87C8A" w:rsidRPr="002D1C8A" w:rsidRDefault="00AB139F" w:rsidP="00AB139F">
      <w:pPr>
        <w:autoSpaceDE w:val="0"/>
        <w:autoSpaceDN w:val="0"/>
        <w:adjustRightInd w:val="0"/>
        <w:spacing w:line="360" w:lineRule="auto"/>
        <w:ind w:firstLineChars="200" w:firstLine="560"/>
        <w:rPr>
          <w:rFonts w:hAnsi="Times New Roman"/>
          <w:sz w:val="28"/>
          <w:szCs w:val="28"/>
        </w:rPr>
      </w:pPr>
      <w:r w:rsidRPr="00AB139F">
        <w:rPr>
          <w:rFonts w:hAnsi="Times New Roman" w:hint="eastAsia"/>
          <w:sz w:val="28"/>
          <w:szCs w:val="28"/>
        </w:rPr>
        <w:t>截至</w:t>
      </w:r>
      <w:r w:rsidRPr="00AB139F">
        <w:rPr>
          <w:rFonts w:hAnsi="Times New Roman"/>
          <w:sz w:val="28"/>
          <w:szCs w:val="28"/>
        </w:rPr>
        <w:t>2022年12月31日，吉首大学共有车辆10辆。其中：应急保障用车7辆、其他用车3辆，其他用车主要是用于机要通信和应急保障之外公务用途的车辆；单价 100 万元(含)以上设备（不含车辆）3台（套）。</w:t>
      </w:r>
    </w:p>
    <w:p w:rsidR="0088429C" w:rsidRDefault="0088429C" w:rsidP="0088429C">
      <w:pPr>
        <w:autoSpaceDE w:val="0"/>
        <w:autoSpaceDN w:val="0"/>
        <w:adjustRightInd w:val="0"/>
        <w:spacing w:line="360" w:lineRule="auto"/>
        <w:ind w:firstLineChars="200" w:firstLine="640"/>
        <w:rPr>
          <w:rFonts w:ascii="黑体" w:eastAsia="黑体" w:cs="黑体"/>
          <w:sz w:val="32"/>
          <w:szCs w:val="32"/>
        </w:rPr>
      </w:pPr>
      <w:r>
        <w:rPr>
          <w:rFonts w:ascii="黑体" w:eastAsia="黑体" w:cs="黑体"/>
          <w:sz w:val="32"/>
          <w:szCs w:val="32"/>
        </w:rPr>
        <w:t>十四、关于2022年度预算绩效情况的说明</w:t>
      </w:r>
    </w:p>
    <w:p w:rsidR="0088429C" w:rsidRDefault="0088429C" w:rsidP="0088429C">
      <w:pPr>
        <w:spacing w:line="360" w:lineRule="auto"/>
        <w:ind w:firstLineChars="200" w:firstLine="560"/>
        <w:rPr>
          <w:rFonts w:cs="黑体"/>
          <w:sz w:val="28"/>
          <w:szCs w:val="28"/>
        </w:rPr>
      </w:pPr>
      <w:r>
        <w:rPr>
          <w:sz w:val="28"/>
          <w:szCs w:val="28"/>
        </w:rPr>
        <w:t>学校预算管理坚持“量入为出、收支平衡，综合预算、统筹资源，保证重点、兼顾一般，厉行节约、讲求绩效”的原则，</w:t>
      </w:r>
      <w:r w:rsidRPr="008D4313">
        <w:rPr>
          <w:sz w:val="28"/>
          <w:szCs w:val="28"/>
        </w:rPr>
        <w:t>采用“两下两上</w:t>
      </w:r>
      <w:r w:rsidRPr="008D4313">
        <w:rPr>
          <w:sz w:val="28"/>
          <w:szCs w:val="28"/>
        </w:rPr>
        <w:lastRenderedPageBreak/>
        <w:t>一集中”的</w:t>
      </w:r>
      <w:r>
        <w:rPr>
          <w:sz w:val="28"/>
          <w:szCs w:val="28"/>
        </w:rPr>
        <w:t>编制</w:t>
      </w:r>
      <w:r w:rsidRPr="008D4313">
        <w:rPr>
          <w:sz w:val="28"/>
          <w:szCs w:val="28"/>
        </w:rPr>
        <w:t>程序，坚持四结合支出预算</w:t>
      </w:r>
      <w:r>
        <w:rPr>
          <w:sz w:val="28"/>
          <w:szCs w:val="28"/>
        </w:rPr>
        <w:t>编制</w:t>
      </w:r>
      <w:r w:rsidRPr="008D4313">
        <w:rPr>
          <w:sz w:val="28"/>
          <w:szCs w:val="28"/>
        </w:rPr>
        <w:t>。按照《2022年度部门整体支出绩效自评表》评分标准，综合自评得分98.5分。</w:t>
      </w:r>
      <w:r>
        <w:rPr>
          <w:sz w:val="28"/>
          <w:szCs w:val="28"/>
        </w:rPr>
        <w:t>为提高资金使用效益，实现“集中力量办大事”，</w:t>
      </w:r>
      <w:r w:rsidRPr="00096526">
        <w:rPr>
          <w:sz w:val="28"/>
          <w:szCs w:val="28"/>
        </w:rPr>
        <w:t>学校主要从以下方面持续加强预算绩效管理。</w:t>
      </w:r>
    </w:p>
    <w:p w:rsidR="0088429C" w:rsidRDefault="0088429C" w:rsidP="0088429C">
      <w:pPr>
        <w:spacing w:line="360" w:lineRule="auto"/>
        <w:ind w:firstLineChars="200" w:firstLine="562"/>
        <w:rPr>
          <w:rFonts w:cs="黑体"/>
          <w:b/>
          <w:sz w:val="28"/>
          <w:szCs w:val="28"/>
        </w:rPr>
      </w:pPr>
      <w:r>
        <w:rPr>
          <w:b/>
          <w:sz w:val="28"/>
          <w:szCs w:val="28"/>
        </w:rPr>
        <w:t>（一）实施全过程绩效管理</w:t>
      </w:r>
    </w:p>
    <w:p w:rsidR="0088429C" w:rsidRDefault="0088429C" w:rsidP="0088429C">
      <w:pPr>
        <w:spacing w:line="360" w:lineRule="auto"/>
        <w:ind w:firstLineChars="200" w:firstLine="560"/>
        <w:rPr>
          <w:rFonts w:cs="黑体"/>
          <w:sz w:val="28"/>
          <w:szCs w:val="28"/>
        </w:rPr>
      </w:pPr>
      <w:r>
        <w:rPr>
          <w:sz w:val="28"/>
          <w:szCs w:val="28"/>
        </w:rPr>
        <w:t>1、预算编制时，明确绩效目标。一是明确申报专项预算时，在对项目建设必要性、可行性分析的同时，需列明项目的绩效目标；二是预算项目遴选时，绩效目标设置的清晰、合理、有效，是项目能否立项的重要影响因素；三是学校预算编制草案及明细方案（含项目绩效目标）须报经学校校务会审议、校党委会决议确定；四是项目绩效目标经</w:t>
      </w:r>
      <w:proofErr w:type="gramStart"/>
      <w:r>
        <w:rPr>
          <w:sz w:val="28"/>
          <w:szCs w:val="28"/>
        </w:rPr>
        <w:t>整理成档后作</w:t>
      </w:r>
      <w:proofErr w:type="gramEnd"/>
      <w:r>
        <w:rPr>
          <w:sz w:val="28"/>
          <w:szCs w:val="28"/>
        </w:rPr>
        <w:t>为预算绩效评价依据。</w:t>
      </w:r>
    </w:p>
    <w:p w:rsidR="0088429C" w:rsidRDefault="0088429C" w:rsidP="0088429C">
      <w:pPr>
        <w:spacing w:line="360" w:lineRule="auto"/>
        <w:ind w:firstLineChars="200" w:firstLine="560"/>
        <w:rPr>
          <w:rFonts w:cs="黑体"/>
          <w:sz w:val="28"/>
          <w:szCs w:val="28"/>
        </w:rPr>
      </w:pPr>
      <w:r>
        <w:rPr>
          <w:sz w:val="28"/>
          <w:szCs w:val="28"/>
        </w:rPr>
        <w:t>2、预算执行中，实施跟踪问效。年度下达预算后，学校财务部门于年中及下半年及时开展资金执行情况分析、整理和调研，序时公开预算执行情况，分别采取收回预算资金、压缩下年度预算、进行预算调整等方式对预算资金跟踪问效。</w:t>
      </w:r>
    </w:p>
    <w:p w:rsidR="0088429C" w:rsidRDefault="0088429C" w:rsidP="0088429C">
      <w:pPr>
        <w:spacing w:line="360" w:lineRule="auto"/>
        <w:ind w:firstLineChars="200" w:firstLine="560"/>
        <w:rPr>
          <w:rFonts w:cs="黑体"/>
          <w:sz w:val="28"/>
          <w:szCs w:val="28"/>
        </w:rPr>
      </w:pPr>
      <w:r>
        <w:rPr>
          <w:sz w:val="28"/>
          <w:szCs w:val="28"/>
        </w:rPr>
        <w:t>3、预算年度间，开展绩效评价。每年末，开展预算执行情况分析，执行情况与下年预算草案挂钩，对部分执行效果差的项目采取预算削减或暂缓项目立项方式实施跟踪问效。组织或协助开展资金预算绩效评价、预算项目执行审计等工作，通过约谈、公开或披露预算项目执行存在的问题等方式，不断强化预算绩效的全过程管理，有效地提高了资金使用的合</w:t>
      </w:r>
      <w:proofErr w:type="gramStart"/>
      <w:r>
        <w:rPr>
          <w:sz w:val="28"/>
          <w:szCs w:val="28"/>
        </w:rPr>
        <w:t>规</w:t>
      </w:r>
      <w:proofErr w:type="gramEnd"/>
      <w:r>
        <w:rPr>
          <w:sz w:val="28"/>
          <w:szCs w:val="28"/>
        </w:rPr>
        <w:t>性、效益性。</w:t>
      </w:r>
    </w:p>
    <w:p w:rsidR="0088429C" w:rsidRDefault="0088429C" w:rsidP="0088429C">
      <w:pPr>
        <w:spacing w:line="360" w:lineRule="auto"/>
        <w:ind w:firstLineChars="200" w:firstLine="562"/>
        <w:rPr>
          <w:rFonts w:cs="黑体"/>
          <w:sz w:val="28"/>
          <w:szCs w:val="28"/>
        </w:rPr>
      </w:pPr>
      <w:r w:rsidRPr="00DC0481">
        <w:rPr>
          <w:b/>
          <w:sz w:val="28"/>
          <w:szCs w:val="28"/>
        </w:rPr>
        <w:t>（二）积极开展</w:t>
      </w:r>
      <w:proofErr w:type="gramStart"/>
      <w:r w:rsidRPr="00DC0481">
        <w:rPr>
          <w:b/>
          <w:sz w:val="28"/>
          <w:szCs w:val="28"/>
        </w:rPr>
        <w:t>高校双</w:t>
      </w:r>
      <w:proofErr w:type="gramEnd"/>
      <w:r w:rsidRPr="00DC0481">
        <w:rPr>
          <w:b/>
          <w:sz w:val="28"/>
          <w:szCs w:val="28"/>
        </w:rPr>
        <w:t>一流建设专项资金绩效评价</w:t>
      </w:r>
    </w:p>
    <w:p w:rsidR="0088429C" w:rsidRPr="00DC0481" w:rsidRDefault="0088429C" w:rsidP="0088429C">
      <w:pPr>
        <w:spacing w:line="360" w:lineRule="auto"/>
        <w:ind w:firstLineChars="200" w:firstLine="560"/>
        <w:rPr>
          <w:rFonts w:cs="黑体"/>
          <w:sz w:val="28"/>
          <w:szCs w:val="28"/>
        </w:rPr>
      </w:pPr>
      <w:r>
        <w:rPr>
          <w:sz w:val="28"/>
          <w:szCs w:val="28"/>
        </w:rPr>
        <w:lastRenderedPageBreak/>
        <w:t xml:space="preserve">  根据省厅文件要求，积极开展</w:t>
      </w:r>
      <w:proofErr w:type="gramStart"/>
      <w:r>
        <w:rPr>
          <w:sz w:val="28"/>
          <w:szCs w:val="28"/>
        </w:rPr>
        <w:t>高校双</w:t>
      </w:r>
      <w:proofErr w:type="gramEnd"/>
      <w:r>
        <w:rPr>
          <w:sz w:val="28"/>
          <w:szCs w:val="28"/>
        </w:rPr>
        <w:t>一流建设专项资金绩效评价，</w:t>
      </w:r>
      <w:proofErr w:type="gramStart"/>
      <w:r>
        <w:rPr>
          <w:sz w:val="28"/>
          <w:szCs w:val="28"/>
        </w:rPr>
        <w:t>以评促建</w:t>
      </w:r>
      <w:proofErr w:type="gramEnd"/>
      <w:r>
        <w:rPr>
          <w:sz w:val="28"/>
          <w:szCs w:val="28"/>
        </w:rPr>
        <w:t>、以评促改。通过专项资金绩效评价的组织实施，对</w:t>
      </w:r>
      <w:proofErr w:type="gramStart"/>
      <w:r>
        <w:rPr>
          <w:sz w:val="28"/>
          <w:szCs w:val="28"/>
        </w:rPr>
        <w:t>标学校</w:t>
      </w:r>
      <w:proofErr w:type="gramEnd"/>
      <w:r>
        <w:rPr>
          <w:sz w:val="28"/>
          <w:szCs w:val="28"/>
        </w:rPr>
        <w:t>整体资金的预算绩效管理，总结经验，完善预算绩效管理机制。</w:t>
      </w:r>
    </w:p>
    <w:p w:rsidR="0088429C" w:rsidRDefault="0088429C" w:rsidP="0088429C">
      <w:pPr>
        <w:adjustRightInd w:val="0"/>
        <w:snapToGrid w:val="0"/>
        <w:spacing w:line="360" w:lineRule="auto"/>
        <w:ind w:firstLineChars="200" w:firstLine="560"/>
        <w:rPr>
          <w:sz w:val="28"/>
          <w:szCs w:val="28"/>
        </w:rPr>
      </w:pPr>
      <w:r w:rsidRPr="00907DD7">
        <w:rPr>
          <w:sz w:val="28"/>
          <w:szCs w:val="28"/>
        </w:rPr>
        <w:t>学校“双一流”建设项目资金预算以《吉首大学预算管理暂行办法》《吉首大学服务“三高四新”战略实施方案》、《吉首大学事业发展“十四五”总体规划（讨论稿）》、《吉首大学“十四五”学科专业建设专项规划（2021—2025年）（讨论稿）》《吉首大学“十四五”建设发展规划》《吉首大学2021年度党政工作要点》《吉首大学“双一流”学科建设管理办法》《吉首大学一流专业管理办法》《吉首大学教学改革研究项目管理办法》《吉首大学课程建设管理办法》等制度为依据，以项目实施推进工作内容和进度为年度预算金额控制数，结合财政专项拨款与学校自筹资金情况，形成年度“双一流”建设项目预算。2022年度，学校以上年财政专项拨款为限额，结合学校资金现状，编制了年度“双一流”建设项目资金预算方案，学校“双一流”建设专项资金年初预算金额为6,049.18万元，较202</w:t>
      </w:r>
      <w:r>
        <w:rPr>
          <w:sz w:val="28"/>
          <w:szCs w:val="28"/>
        </w:rPr>
        <w:t>1</w:t>
      </w:r>
      <w:r w:rsidRPr="00907DD7">
        <w:rPr>
          <w:sz w:val="28"/>
          <w:szCs w:val="28"/>
        </w:rPr>
        <w:t>年5326.39万元增长</w:t>
      </w:r>
      <w:r>
        <w:rPr>
          <w:sz w:val="28"/>
          <w:szCs w:val="28"/>
        </w:rPr>
        <w:t>722.79</w:t>
      </w:r>
      <w:r w:rsidRPr="00907DD7">
        <w:rPr>
          <w:sz w:val="28"/>
          <w:szCs w:val="28"/>
        </w:rPr>
        <w:t>万元</w:t>
      </w:r>
      <w:r>
        <w:rPr>
          <w:sz w:val="28"/>
          <w:szCs w:val="28"/>
        </w:rPr>
        <w:t>，</w:t>
      </w:r>
      <w:r w:rsidRPr="00907DD7">
        <w:rPr>
          <w:sz w:val="28"/>
          <w:szCs w:val="28"/>
        </w:rPr>
        <w:t>实际下拨金额为6,049.18万元（其中省财政厅拨款3,157.10万元，学校自筹经费2,892.08万元），预算指标于学校预算方案下文后下达，预算编制科学、合理，预算资金</w:t>
      </w:r>
      <w:proofErr w:type="gramStart"/>
      <w:r w:rsidRPr="00907DD7">
        <w:rPr>
          <w:sz w:val="28"/>
          <w:szCs w:val="28"/>
        </w:rPr>
        <w:t>拨付款</w:t>
      </w:r>
      <w:proofErr w:type="gramEnd"/>
      <w:r w:rsidRPr="00907DD7">
        <w:rPr>
          <w:sz w:val="28"/>
          <w:szCs w:val="28"/>
        </w:rPr>
        <w:t>及时，到位率100</w:t>
      </w:r>
      <w:r>
        <w:rPr>
          <w:sz w:val="28"/>
          <w:szCs w:val="28"/>
        </w:rPr>
        <w:t>%</w:t>
      </w:r>
      <w:r w:rsidRPr="00907DD7">
        <w:rPr>
          <w:sz w:val="28"/>
          <w:szCs w:val="28"/>
        </w:rPr>
        <w:t>。</w:t>
      </w:r>
    </w:p>
    <w:p w:rsidR="0088429C" w:rsidRPr="00907DD7" w:rsidRDefault="0088429C" w:rsidP="0088429C">
      <w:pPr>
        <w:adjustRightInd w:val="0"/>
        <w:snapToGrid w:val="0"/>
        <w:spacing w:line="360" w:lineRule="auto"/>
        <w:ind w:firstLineChars="200" w:firstLine="560"/>
        <w:rPr>
          <w:sz w:val="28"/>
          <w:szCs w:val="28"/>
        </w:rPr>
      </w:pPr>
      <w:r w:rsidRPr="00D30887">
        <w:rPr>
          <w:sz w:val="28"/>
          <w:szCs w:val="28"/>
        </w:rPr>
        <w:t>根据各归口责任单位和实施单位自查自审，资金支出合理、合理，未发现截留、挪用及损失浪费情况，学校财务严格按照规定，专款专用，对项目实施跟踪问效和中期分析，对年度无法预算执行的项目进行了预算调整，年终对还</w:t>
      </w:r>
      <w:proofErr w:type="gramStart"/>
      <w:r w:rsidRPr="00D30887">
        <w:rPr>
          <w:sz w:val="28"/>
          <w:szCs w:val="28"/>
        </w:rPr>
        <w:t>未完成需继续</w:t>
      </w:r>
      <w:proofErr w:type="gramEnd"/>
      <w:r w:rsidRPr="00D30887">
        <w:rPr>
          <w:sz w:val="28"/>
          <w:szCs w:val="28"/>
        </w:rPr>
        <w:t>实施且有结余资金的项目执行预算清零，所需资金纳入下年度支出预算。2022年度专项资金使用情况见下表：</w:t>
      </w:r>
    </w:p>
    <w:p w:rsidR="0088429C" w:rsidRDefault="0088429C" w:rsidP="0088429C">
      <w:pPr>
        <w:adjustRightInd w:val="0"/>
        <w:snapToGrid w:val="0"/>
        <w:spacing w:line="600" w:lineRule="exact"/>
        <w:jc w:val="center"/>
        <w:rPr>
          <w:b/>
        </w:rPr>
      </w:pPr>
      <w:r>
        <w:rPr>
          <w:b/>
        </w:rPr>
        <w:lastRenderedPageBreak/>
        <w:t>吉首大学202</w:t>
      </w:r>
      <w:r>
        <w:rPr>
          <w:rFonts w:hint="eastAsia"/>
          <w:b/>
        </w:rPr>
        <w:t>2</w:t>
      </w:r>
      <w:r>
        <w:rPr>
          <w:b/>
        </w:rPr>
        <w:t>年 “双一流"专项项目执行明细表</w:t>
      </w:r>
    </w:p>
    <w:p w:rsidR="0088429C" w:rsidRDefault="0088429C" w:rsidP="0088429C">
      <w:pPr>
        <w:ind w:right="420"/>
        <w:jc w:val="center"/>
        <w:rPr>
          <w:b/>
          <w:szCs w:val="21"/>
        </w:rPr>
      </w:pPr>
      <w:r>
        <w:rPr>
          <w:b/>
          <w:szCs w:val="21"/>
        </w:rPr>
        <w:t xml:space="preserve">                                                        单位：万元</w:t>
      </w:r>
    </w:p>
    <w:tbl>
      <w:tblPr>
        <w:tblpPr w:leftFromText="180" w:rightFromText="180" w:vertAnchor="text" w:horzAnchor="margin" w:tblpXSpec="center" w:tblpY="141"/>
        <w:tblW w:w="4998" w:type="pct"/>
        <w:jc w:val="center"/>
        <w:tblLook w:val="04A0" w:firstRow="1" w:lastRow="0" w:firstColumn="1" w:lastColumn="0" w:noHBand="0" w:noVBand="1"/>
      </w:tblPr>
      <w:tblGrid>
        <w:gridCol w:w="2094"/>
        <w:gridCol w:w="1557"/>
        <w:gridCol w:w="1729"/>
        <w:gridCol w:w="1702"/>
        <w:gridCol w:w="1770"/>
      </w:tblGrid>
      <w:tr w:rsidR="0088429C" w:rsidRPr="00D30887" w:rsidTr="009B5C86">
        <w:trPr>
          <w:trHeight w:val="567"/>
          <w:jc w:val="center"/>
        </w:trPr>
        <w:tc>
          <w:tcPr>
            <w:tcW w:w="1182" w:type="pct"/>
            <w:tcBorders>
              <w:top w:val="single" w:sz="4" w:space="0" w:color="auto"/>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rPr>
            </w:pPr>
            <w:r w:rsidRPr="00D30887">
              <w:rPr>
                <w:rFonts w:ascii="仿宋" w:eastAsia="仿宋" w:hAnsi="仿宋"/>
                <w:b/>
                <w:bCs/>
              </w:rPr>
              <w:t>项目名称</w:t>
            </w:r>
          </w:p>
        </w:tc>
        <w:tc>
          <w:tcPr>
            <w:tcW w:w="879" w:type="pct"/>
            <w:tcBorders>
              <w:top w:val="single" w:sz="4" w:space="0" w:color="auto"/>
              <w:left w:val="nil"/>
              <w:bottom w:val="single" w:sz="4" w:space="0" w:color="auto"/>
              <w:right w:val="single" w:sz="4" w:space="0" w:color="auto"/>
            </w:tcBorders>
            <w:shd w:val="clear" w:color="auto" w:fill="auto"/>
            <w:noWrap/>
            <w:vAlign w:val="center"/>
          </w:tcPr>
          <w:p w:rsidR="0088429C" w:rsidRPr="00D30887" w:rsidRDefault="0088429C" w:rsidP="009B5C86">
            <w:pPr>
              <w:jc w:val="center"/>
              <w:rPr>
                <w:rFonts w:ascii="仿宋" w:eastAsia="仿宋" w:hAnsi="仿宋"/>
                <w:b/>
                <w:bCs/>
              </w:rPr>
            </w:pPr>
            <w:r w:rsidRPr="00D30887">
              <w:rPr>
                <w:rFonts w:ascii="仿宋" w:eastAsia="仿宋" w:hAnsi="仿宋"/>
                <w:b/>
                <w:bCs/>
              </w:rPr>
              <w:t>预算金额</w:t>
            </w:r>
          </w:p>
        </w:tc>
        <w:tc>
          <w:tcPr>
            <w:tcW w:w="976"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rPr>
            </w:pPr>
            <w:r w:rsidRPr="00D30887">
              <w:rPr>
                <w:rFonts w:ascii="仿宋" w:eastAsia="仿宋" w:hAnsi="仿宋"/>
                <w:b/>
                <w:bCs/>
              </w:rPr>
              <w:t>实际下拨</w:t>
            </w:r>
          </w:p>
        </w:tc>
        <w:tc>
          <w:tcPr>
            <w:tcW w:w="961"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rPr>
            </w:pPr>
            <w:r w:rsidRPr="00D30887">
              <w:rPr>
                <w:rFonts w:ascii="仿宋" w:eastAsia="仿宋" w:hAnsi="仿宋"/>
                <w:b/>
                <w:bCs/>
              </w:rPr>
              <w:t>实际支出</w:t>
            </w:r>
          </w:p>
        </w:tc>
        <w:tc>
          <w:tcPr>
            <w:tcW w:w="1000"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rPr>
            </w:pPr>
            <w:r w:rsidRPr="00D30887">
              <w:rPr>
                <w:rFonts w:ascii="仿宋" w:eastAsia="仿宋" w:hAnsi="仿宋"/>
                <w:b/>
                <w:bCs/>
              </w:rPr>
              <w:t>预算执行率</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高层次人才特殊报酬</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2528.80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2528.80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2329.05</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92.10%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人才引进专项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1000.00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459.02</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45.90%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学科建设经费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310.00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310.00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298.37</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96.25%</w:t>
            </w:r>
          </w:p>
        </w:tc>
      </w:tr>
      <w:tr w:rsidR="0088429C" w:rsidRPr="00D30887" w:rsidTr="009B5C86">
        <w:trPr>
          <w:trHeight w:val="567"/>
          <w:jc w:val="center"/>
        </w:trPr>
        <w:tc>
          <w:tcPr>
            <w:tcW w:w="1182" w:type="pct"/>
            <w:tcBorders>
              <w:top w:val="single" w:sz="4" w:space="0" w:color="auto"/>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图书购置费</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370.00</w:t>
            </w:r>
          </w:p>
        </w:tc>
        <w:tc>
          <w:tcPr>
            <w:tcW w:w="976"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370.00</w:t>
            </w:r>
          </w:p>
        </w:tc>
        <w:tc>
          <w:tcPr>
            <w:tcW w:w="961"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370.00</w:t>
            </w:r>
          </w:p>
        </w:tc>
        <w:tc>
          <w:tcPr>
            <w:tcW w:w="1000"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互联网+创新创业大赛专项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15.00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15.00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创业支持专项经费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15.00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6.79</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45.27%</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挑战</w:t>
            </w:r>
            <w:proofErr w:type="gramStart"/>
            <w:r w:rsidRPr="00D30887">
              <w:rPr>
                <w:sz w:val="20"/>
                <w:szCs w:val="20"/>
              </w:rPr>
              <w:t>杯创业</w:t>
            </w:r>
            <w:proofErr w:type="gramEnd"/>
            <w:r w:rsidRPr="00D30887">
              <w:rPr>
                <w:sz w:val="20"/>
                <w:szCs w:val="20"/>
              </w:rPr>
              <w:t>大赛专项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15.00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14.98</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99.87%</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学生艺术团专项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6.00</w:t>
            </w:r>
          </w:p>
        </w:tc>
        <w:tc>
          <w:tcPr>
            <w:tcW w:w="976"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6.00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6.00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青年马克思主义者培训费</w:t>
            </w:r>
          </w:p>
        </w:tc>
        <w:tc>
          <w:tcPr>
            <w:tcW w:w="879" w:type="pct"/>
            <w:tcBorders>
              <w:top w:val="single" w:sz="4" w:space="0" w:color="auto"/>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4.00</w:t>
            </w:r>
          </w:p>
        </w:tc>
        <w:tc>
          <w:tcPr>
            <w:tcW w:w="976" w:type="pct"/>
            <w:tcBorders>
              <w:top w:val="single" w:sz="4" w:space="0" w:color="auto"/>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3.81</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95.25%</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专业建设研究经费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558.00</w:t>
            </w:r>
          </w:p>
        </w:tc>
        <w:tc>
          <w:tcPr>
            <w:tcW w:w="1663" w:type="dxa"/>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558.00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479.68</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85.96%</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课程建设研究经费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176.00</w:t>
            </w:r>
          </w:p>
        </w:tc>
        <w:tc>
          <w:tcPr>
            <w:tcW w:w="1663" w:type="dxa"/>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176.00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156.36</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88.84%</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高等教育质量与创新计划</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189.15</w:t>
            </w:r>
          </w:p>
        </w:tc>
        <w:tc>
          <w:tcPr>
            <w:tcW w:w="1663" w:type="dxa"/>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189.15</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158.68</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83.89%</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实验室开放及学生自主实验项目专项经费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21.20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21.20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20.39</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96.18%</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独立设置实验课程建设专项经费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18.00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18.00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8.20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45.56%</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高等教育教学成果奖</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11.00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11.00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90.91%</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实验室建设专项经费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215.00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215.00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111.11</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51.68%</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研究生教学内涵式建设专项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151.65</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151.65</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123.60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81.50%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proofErr w:type="gramStart"/>
            <w:r w:rsidRPr="00D30887">
              <w:rPr>
                <w:sz w:val="20"/>
                <w:szCs w:val="20"/>
              </w:rPr>
              <w:t>思政项目</w:t>
            </w:r>
            <w:proofErr w:type="gramEnd"/>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32.00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32.00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7.09</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22.16%</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研究生暑期学校</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19.20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19.20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21.47</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111.82%</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lastRenderedPageBreak/>
              <w:t>研究生创新论坛</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4.90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4.90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4.90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大学生竞赛</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7.00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7.00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7.00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科研平台运行经费</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119.50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119.50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102.46</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85.74%</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校级、教育厅课题</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237.78</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237.78</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182.65</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76.81%</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000000" w:fill="FFFFFF"/>
            <w:vAlign w:val="center"/>
          </w:tcPr>
          <w:p w:rsidR="0088429C" w:rsidRPr="00D30887" w:rsidRDefault="0088429C" w:rsidP="009B5C86">
            <w:pPr>
              <w:jc w:val="center"/>
              <w:rPr>
                <w:sz w:val="20"/>
                <w:szCs w:val="20"/>
              </w:rPr>
            </w:pPr>
            <w:r w:rsidRPr="00D30887">
              <w:rPr>
                <w:sz w:val="20"/>
                <w:szCs w:val="20"/>
              </w:rPr>
              <w:t>大学生社会实践</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sz w:val="20"/>
                <w:szCs w:val="20"/>
              </w:rPr>
            </w:pPr>
            <w:r w:rsidRPr="00D30887">
              <w:rPr>
                <w:sz w:val="20"/>
                <w:szCs w:val="20"/>
              </w:rPr>
              <w:t>25.00</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25.00</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25.00</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sz w:val="20"/>
                <w:szCs w:val="20"/>
              </w:rPr>
            </w:pPr>
            <w:r w:rsidRPr="00D30887">
              <w:rPr>
                <w:sz w:val="20"/>
                <w:szCs w:val="20"/>
              </w:rPr>
              <w:t>100.00%</w:t>
            </w:r>
          </w:p>
        </w:tc>
      </w:tr>
      <w:tr w:rsidR="0088429C" w:rsidRPr="00D30887" w:rsidTr="009B5C86">
        <w:trPr>
          <w:trHeight w:val="567"/>
          <w:jc w:val="center"/>
        </w:trPr>
        <w:tc>
          <w:tcPr>
            <w:tcW w:w="1182" w:type="pct"/>
            <w:tcBorders>
              <w:top w:val="nil"/>
              <w:left w:val="single" w:sz="4" w:space="0" w:color="auto"/>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sz w:val="20"/>
                <w:szCs w:val="20"/>
              </w:rPr>
            </w:pPr>
            <w:r w:rsidRPr="00D30887">
              <w:rPr>
                <w:rFonts w:ascii="仿宋" w:eastAsia="仿宋" w:hAnsi="仿宋"/>
                <w:b/>
                <w:bCs/>
                <w:sz w:val="20"/>
                <w:szCs w:val="20"/>
              </w:rPr>
              <w:t>合计</w:t>
            </w:r>
          </w:p>
        </w:tc>
        <w:tc>
          <w:tcPr>
            <w:tcW w:w="879" w:type="pct"/>
            <w:tcBorders>
              <w:top w:val="nil"/>
              <w:left w:val="nil"/>
              <w:bottom w:val="single" w:sz="4" w:space="0" w:color="auto"/>
              <w:right w:val="single" w:sz="4" w:space="0" w:color="auto"/>
            </w:tcBorders>
            <w:shd w:val="clear" w:color="auto" w:fill="auto"/>
            <w:noWrap/>
            <w:vAlign w:val="center"/>
          </w:tcPr>
          <w:p w:rsidR="0088429C" w:rsidRPr="00D30887" w:rsidRDefault="0088429C" w:rsidP="009B5C86">
            <w:pPr>
              <w:jc w:val="center"/>
              <w:rPr>
                <w:rFonts w:ascii="仿宋" w:eastAsia="仿宋" w:hAnsi="仿宋"/>
                <w:b/>
                <w:bCs/>
                <w:sz w:val="20"/>
                <w:szCs w:val="20"/>
              </w:rPr>
            </w:pPr>
            <w:r w:rsidRPr="00D30887">
              <w:rPr>
                <w:rFonts w:ascii="仿宋" w:eastAsia="仿宋" w:hAnsi="仿宋"/>
                <w:b/>
                <w:bCs/>
                <w:sz w:val="20"/>
                <w:szCs w:val="20"/>
              </w:rPr>
              <w:t>6049.18</w:t>
            </w:r>
          </w:p>
        </w:tc>
        <w:tc>
          <w:tcPr>
            <w:tcW w:w="976"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rPr>
                <w:rFonts w:ascii="仿宋" w:eastAsia="仿宋" w:hAnsi="仿宋"/>
                <w:b/>
                <w:bCs/>
                <w:sz w:val="20"/>
                <w:szCs w:val="20"/>
              </w:rPr>
            </w:pPr>
            <w:r w:rsidRPr="00D30887">
              <w:rPr>
                <w:rFonts w:ascii="仿宋" w:eastAsia="仿宋" w:hAnsi="仿宋"/>
                <w:b/>
                <w:bCs/>
                <w:sz w:val="20"/>
                <w:szCs w:val="20"/>
              </w:rPr>
              <w:t xml:space="preserve">　6049.18</w:t>
            </w:r>
          </w:p>
        </w:tc>
        <w:tc>
          <w:tcPr>
            <w:tcW w:w="961"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sz w:val="20"/>
                <w:szCs w:val="20"/>
              </w:rPr>
            </w:pPr>
            <w:r w:rsidRPr="00D30887">
              <w:rPr>
                <w:rFonts w:ascii="仿宋" w:eastAsia="仿宋" w:hAnsi="仿宋"/>
                <w:b/>
                <w:bCs/>
                <w:sz w:val="20"/>
                <w:szCs w:val="20"/>
              </w:rPr>
              <w:t>4921.61</w:t>
            </w:r>
          </w:p>
        </w:tc>
        <w:tc>
          <w:tcPr>
            <w:tcW w:w="1000" w:type="pct"/>
            <w:tcBorders>
              <w:top w:val="nil"/>
              <w:left w:val="nil"/>
              <w:bottom w:val="single" w:sz="4" w:space="0" w:color="auto"/>
              <w:right w:val="single" w:sz="4" w:space="0" w:color="auto"/>
            </w:tcBorders>
            <w:shd w:val="clear" w:color="auto" w:fill="auto"/>
            <w:vAlign w:val="center"/>
          </w:tcPr>
          <w:p w:rsidR="0088429C" w:rsidRPr="00D30887" w:rsidRDefault="0088429C" w:rsidP="009B5C86">
            <w:pPr>
              <w:jc w:val="center"/>
              <w:rPr>
                <w:rFonts w:ascii="仿宋" w:eastAsia="仿宋" w:hAnsi="仿宋"/>
                <w:b/>
                <w:bCs/>
                <w:sz w:val="20"/>
                <w:szCs w:val="20"/>
              </w:rPr>
            </w:pPr>
            <w:r w:rsidRPr="00D30887">
              <w:rPr>
                <w:rFonts w:ascii="仿宋" w:eastAsia="仿宋" w:hAnsi="仿宋"/>
                <w:b/>
                <w:bCs/>
                <w:sz w:val="20"/>
                <w:szCs w:val="20"/>
              </w:rPr>
              <w:t>81.36%</w:t>
            </w:r>
          </w:p>
        </w:tc>
      </w:tr>
    </w:tbl>
    <w:p w:rsidR="0088429C" w:rsidRDefault="0088429C" w:rsidP="0088429C">
      <w:pPr>
        <w:adjustRightInd w:val="0"/>
        <w:snapToGrid w:val="0"/>
        <w:spacing w:line="360" w:lineRule="auto"/>
        <w:ind w:firstLineChars="200" w:firstLine="360"/>
        <w:rPr>
          <w:sz w:val="18"/>
          <w:szCs w:val="18"/>
        </w:rPr>
      </w:pPr>
    </w:p>
    <w:p w:rsidR="0088429C" w:rsidRDefault="0088429C" w:rsidP="0088429C">
      <w:pPr>
        <w:adjustRightInd w:val="0"/>
        <w:snapToGrid w:val="0"/>
        <w:spacing w:line="360" w:lineRule="auto"/>
        <w:ind w:firstLineChars="200" w:firstLine="560"/>
        <w:rPr>
          <w:sz w:val="28"/>
          <w:szCs w:val="28"/>
        </w:rPr>
      </w:pPr>
      <w:r>
        <w:rPr>
          <w:sz w:val="28"/>
          <w:szCs w:val="28"/>
        </w:rPr>
        <w:t>双一流专项项目执行率为81.36%，主要影响因素是学科、科研、</w:t>
      </w:r>
      <w:proofErr w:type="gramStart"/>
      <w:r>
        <w:rPr>
          <w:sz w:val="28"/>
          <w:szCs w:val="28"/>
        </w:rPr>
        <w:t>思政课题</w:t>
      </w:r>
      <w:proofErr w:type="gramEnd"/>
      <w:r>
        <w:rPr>
          <w:sz w:val="28"/>
          <w:szCs w:val="28"/>
        </w:rPr>
        <w:t>等项目有2-3年的项目执行建设周期，留有部分经费用于后期相关事项开支。</w:t>
      </w:r>
    </w:p>
    <w:p w:rsidR="0088429C" w:rsidRPr="00096526" w:rsidRDefault="0088429C" w:rsidP="0088429C">
      <w:pPr>
        <w:spacing w:line="360" w:lineRule="auto"/>
        <w:ind w:firstLineChars="200" w:firstLine="562"/>
        <w:rPr>
          <w:rFonts w:cs="黑体"/>
          <w:sz w:val="28"/>
          <w:szCs w:val="28"/>
        </w:rPr>
      </w:pPr>
      <w:r w:rsidRPr="007E44E7">
        <w:rPr>
          <w:b/>
          <w:sz w:val="28"/>
          <w:szCs w:val="28"/>
        </w:rPr>
        <w:t>（三）2022年度主要工作成效</w:t>
      </w:r>
    </w:p>
    <w:p w:rsidR="0088429C" w:rsidRDefault="0088429C" w:rsidP="0088429C">
      <w:pPr>
        <w:autoSpaceDE w:val="0"/>
        <w:autoSpaceDN w:val="0"/>
        <w:adjustRightInd w:val="0"/>
        <w:spacing w:line="360" w:lineRule="auto"/>
        <w:ind w:firstLineChars="200" w:firstLine="560"/>
        <w:rPr>
          <w:rFonts w:cs="黑体"/>
          <w:sz w:val="28"/>
          <w:szCs w:val="28"/>
        </w:rPr>
      </w:pPr>
      <w:r>
        <w:rPr>
          <w:sz w:val="28"/>
          <w:szCs w:val="28"/>
        </w:rPr>
        <w:t>1、坚持党的领导 加强党建引领</w:t>
      </w:r>
    </w:p>
    <w:p w:rsidR="0088429C" w:rsidRDefault="0088429C" w:rsidP="0088429C">
      <w:pPr>
        <w:adjustRightInd w:val="0"/>
        <w:snapToGrid w:val="0"/>
        <w:spacing w:line="360" w:lineRule="auto"/>
        <w:ind w:firstLineChars="200" w:firstLine="560"/>
        <w:rPr>
          <w:sz w:val="28"/>
          <w:szCs w:val="28"/>
        </w:rPr>
      </w:pPr>
      <w:r w:rsidRPr="008D4313">
        <w:rPr>
          <w:sz w:val="28"/>
          <w:szCs w:val="28"/>
        </w:rPr>
        <w:t>认真落实中央和省委加强政治建设的各项要求，组织师生深入学习贯彻习近平新时代中国特色社会主义思想，特别是习近平总书记关于教育的重要论述。坚持把学习宣传落实党的二十大精神作为首要政治任务，制定了认真学习宣传贯彻党的二十大精神工作方案，出台了《吉首大学关于组织开展党的二十大精神宣讲的通知》，采用</w:t>
      </w:r>
      <w:r>
        <w:rPr>
          <w:sz w:val="28"/>
          <w:szCs w:val="28"/>
        </w:rPr>
        <w:t>多种形式</w:t>
      </w:r>
      <w:r w:rsidRPr="008D4313">
        <w:rPr>
          <w:sz w:val="28"/>
          <w:szCs w:val="28"/>
        </w:rPr>
        <w:t>教育引导广大师生深刻领悟“两个确立”的决定性意义，增强“四个意识”、坚定“四个自信”、做到“两个维护”，不断增强政治领悟力、政治判断力、政治执行力。</w:t>
      </w:r>
    </w:p>
    <w:p w:rsidR="0088429C" w:rsidRDefault="0088429C" w:rsidP="0088429C">
      <w:pPr>
        <w:adjustRightInd w:val="0"/>
        <w:snapToGrid w:val="0"/>
        <w:spacing w:line="360" w:lineRule="auto"/>
        <w:ind w:firstLineChars="200" w:firstLine="560"/>
        <w:rPr>
          <w:rFonts w:cs="黑体"/>
          <w:sz w:val="28"/>
          <w:szCs w:val="28"/>
        </w:rPr>
      </w:pPr>
      <w:r w:rsidRPr="007866FC">
        <w:rPr>
          <w:sz w:val="28"/>
          <w:szCs w:val="28"/>
        </w:rPr>
        <w:t>2、</w:t>
      </w:r>
      <w:r w:rsidRPr="007866FC">
        <w:rPr>
          <w:rFonts w:cs="黑体"/>
          <w:sz w:val="28"/>
          <w:szCs w:val="28"/>
        </w:rPr>
        <w:t>加强基层组织</w:t>
      </w:r>
      <w:r>
        <w:rPr>
          <w:rFonts w:cs="黑体"/>
          <w:sz w:val="28"/>
          <w:szCs w:val="28"/>
        </w:rPr>
        <w:t>和作风纪律</w:t>
      </w:r>
      <w:r w:rsidRPr="007866FC">
        <w:rPr>
          <w:rFonts w:cs="黑体"/>
          <w:sz w:val="28"/>
          <w:szCs w:val="28"/>
        </w:rPr>
        <w:t>建设</w:t>
      </w:r>
    </w:p>
    <w:p w:rsidR="0088429C" w:rsidRPr="007866FC" w:rsidRDefault="0088429C" w:rsidP="0088429C">
      <w:pPr>
        <w:adjustRightInd w:val="0"/>
        <w:snapToGrid w:val="0"/>
        <w:spacing w:line="360" w:lineRule="auto"/>
        <w:ind w:firstLineChars="200" w:firstLine="560"/>
        <w:rPr>
          <w:sz w:val="28"/>
          <w:szCs w:val="28"/>
        </w:rPr>
      </w:pPr>
      <w:r w:rsidRPr="007866FC">
        <w:rPr>
          <w:rFonts w:cs="黑体"/>
          <w:sz w:val="28"/>
          <w:szCs w:val="28"/>
        </w:rPr>
        <w:t>加强制度建设，制定完善了《吉首大学学院党组织会议议事规则》等10多项制度出台了《吉首大学干部队伍建设规划》，全年提拔处级干部31人，其中年轻干部11人。加强了基层党建制度化规范化和干部</w:t>
      </w:r>
      <w:r w:rsidRPr="007866FC">
        <w:rPr>
          <w:rFonts w:cs="黑体"/>
          <w:sz w:val="28"/>
          <w:szCs w:val="28"/>
        </w:rPr>
        <w:lastRenderedPageBreak/>
        <w:t>队伍年轻化建设，基层党组织组织力和政治功能进一步增强。坚持落实中央八项规定及其实施细则精神。出台了《吉首大学关于持续防治形式主义官僚主义的十项具体措施》《吉首大学关于加强新时代廉洁文化建设的若干措施》</w:t>
      </w:r>
      <w:r>
        <w:rPr>
          <w:rFonts w:cs="黑体"/>
          <w:sz w:val="28"/>
          <w:szCs w:val="28"/>
        </w:rPr>
        <w:t>。</w:t>
      </w:r>
      <w:r w:rsidRPr="007866FC">
        <w:rPr>
          <w:rFonts w:cs="黑体"/>
          <w:sz w:val="28"/>
          <w:szCs w:val="28"/>
        </w:rPr>
        <w:t>巡视整改取得显著成效，巡视整改成效被省委</w:t>
      </w:r>
      <w:proofErr w:type="gramStart"/>
      <w:r w:rsidRPr="007866FC">
        <w:rPr>
          <w:rFonts w:cs="黑体"/>
          <w:sz w:val="28"/>
          <w:szCs w:val="28"/>
        </w:rPr>
        <w:t>巡视办评定</w:t>
      </w:r>
      <w:proofErr w:type="gramEnd"/>
      <w:r w:rsidRPr="007866FC">
        <w:rPr>
          <w:rFonts w:cs="黑体"/>
          <w:sz w:val="28"/>
          <w:szCs w:val="28"/>
        </w:rPr>
        <w:t>为“好”。学校巡视整改“五个转化”的经验做法得到省纪委高度肯定，并在《三湘风纪》进行了推介。</w:t>
      </w:r>
    </w:p>
    <w:p w:rsidR="0088429C" w:rsidRDefault="0088429C" w:rsidP="0088429C">
      <w:pPr>
        <w:adjustRightInd w:val="0"/>
        <w:snapToGrid w:val="0"/>
        <w:spacing w:line="360" w:lineRule="auto"/>
        <w:ind w:firstLineChars="200" w:firstLine="560"/>
        <w:rPr>
          <w:rFonts w:cs="黑体"/>
          <w:sz w:val="28"/>
          <w:szCs w:val="28"/>
        </w:rPr>
      </w:pPr>
      <w:r w:rsidRPr="00F101A7">
        <w:rPr>
          <w:sz w:val="28"/>
          <w:szCs w:val="28"/>
        </w:rPr>
        <w:t>3、</w:t>
      </w:r>
      <w:r>
        <w:rPr>
          <w:sz w:val="28"/>
          <w:szCs w:val="28"/>
        </w:rPr>
        <w:t>机构、绩效和教学</w:t>
      </w:r>
      <w:r w:rsidRPr="00F101A7">
        <w:rPr>
          <w:sz w:val="28"/>
          <w:szCs w:val="28"/>
        </w:rPr>
        <w:t>改革成效突出</w:t>
      </w:r>
    </w:p>
    <w:p w:rsidR="0088429C" w:rsidRDefault="0088429C" w:rsidP="0088429C">
      <w:pPr>
        <w:adjustRightInd w:val="0"/>
        <w:snapToGrid w:val="0"/>
        <w:spacing w:line="360" w:lineRule="auto"/>
        <w:ind w:firstLineChars="200" w:firstLine="560"/>
        <w:rPr>
          <w:sz w:val="28"/>
          <w:szCs w:val="28"/>
        </w:rPr>
      </w:pPr>
      <w:r w:rsidRPr="00F101A7">
        <w:rPr>
          <w:sz w:val="28"/>
          <w:szCs w:val="28"/>
        </w:rPr>
        <w:t>机构编制改革成为全省典型。出台了《吉首大学二级机构及其内设机构设置方案》，完成了机关教辅机构“三定”、机构撤并和管理交接工作</w:t>
      </w:r>
      <w:r>
        <w:rPr>
          <w:sz w:val="28"/>
          <w:szCs w:val="28"/>
        </w:rPr>
        <w:t>，</w:t>
      </w:r>
      <w:r w:rsidRPr="00F101A7">
        <w:rPr>
          <w:sz w:val="28"/>
          <w:szCs w:val="28"/>
        </w:rPr>
        <w:t>在全省高校率先圆满完成新一轮机构编制改革。绩效分配体制改革得到广泛认可。缩小了教职工与周边高校同类人员收入差距，增强了全校教职工的获得感。教育教学改革取得阶段成果。出台了修订本科人才和研究生培育方案的指导性意见，完成了各专业人才培养方案和课程“三纲”的修订。</w:t>
      </w:r>
    </w:p>
    <w:p w:rsidR="0088429C" w:rsidRDefault="0088429C" w:rsidP="0088429C">
      <w:pPr>
        <w:adjustRightInd w:val="0"/>
        <w:snapToGrid w:val="0"/>
        <w:spacing w:line="360" w:lineRule="auto"/>
        <w:ind w:firstLineChars="200" w:firstLine="560"/>
        <w:rPr>
          <w:sz w:val="28"/>
          <w:szCs w:val="28"/>
        </w:rPr>
      </w:pPr>
      <w:r>
        <w:rPr>
          <w:sz w:val="28"/>
          <w:szCs w:val="28"/>
        </w:rPr>
        <w:t>4、</w:t>
      </w:r>
      <w:r w:rsidRPr="007E44E7">
        <w:rPr>
          <w:sz w:val="28"/>
          <w:szCs w:val="28"/>
        </w:rPr>
        <w:t>学科建设获得重大突破。</w:t>
      </w:r>
    </w:p>
    <w:p w:rsidR="0088429C" w:rsidRPr="007E44E7" w:rsidRDefault="0088429C" w:rsidP="0088429C">
      <w:pPr>
        <w:adjustRightInd w:val="0"/>
        <w:snapToGrid w:val="0"/>
        <w:spacing w:line="360" w:lineRule="auto"/>
        <w:ind w:firstLineChars="200" w:firstLine="560"/>
        <w:rPr>
          <w:rFonts w:cs="黑体"/>
          <w:sz w:val="28"/>
          <w:szCs w:val="28"/>
        </w:rPr>
      </w:pPr>
      <w:r w:rsidRPr="007E44E7">
        <w:rPr>
          <w:sz w:val="28"/>
          <w:szCs w:val="28"/>
        </w:rPr>
        <w:t>化学学科逼近全球ESI前1%，体育学、民族学继续列为省重点建设学科。在第五轮学科评估和专业学位评估中，学校2个学科和1个专业学位</w:t>
      </w:r>
      <w:proofErr w:type="gramStart"/>
      <w:r w:rsidRPr="007E44E7">
        <w:rPr>
          <w:sz w:val="28"/>
          <w:szCs w:val="28"/>
        </w:rPr>
        <w:t>点首次</w:t>
      </w:r>
      <w:proofErr w:type="gramEnd"/>
      <w:r w:rsidRPr="007E44E7">
        <w:rPr>
          <w:sz w:val="28"/>
          <w:szCs w:val="28"/>
        </w:rPr>
        <w:t>进入B-等级，实现B类学科零的突破，C类学科也较上一轮有所增加。研究生教育取得重要进展，1人当选为文史组学科评议组和</w:t>
      </w:r>
      <w:proofErr w:type="gramStart"/>
      <w:r w:rsidRPr="007E44E7">
        <w:rPr>
          <w:sz w:val="28"/>
          <w:szCs w:val="28"/>
        </w:rPr>
        <w:t>专业教指委</w:t>
      </w:r>
      <w:proofErr w:type="gramEnd"/>
      <w:r w:rsidRPr="007E44E7">
        <w:rPr>
          <w:sz w:val="28"/>
          <w:szCs w:val="28"/>
        </w:rPr>
        <w:t>召集人，8人当选为学科评议组成员，首次有教材被评为省级优秀研究生教材。新增计算机科学与技术一级学科硕士点。</w:t>
      </w:r>
    </w:p>
    <w:p w:rsidR="0088429C" w:rsidRDefault="0088429C" w:rsidP="0088429C">
      <w:pPr>
        <w:autoSpaceDE w:val="0"/>
        <w:autoSpaceDN w:val="0"/>
        <w:adjustRightInd w:val="0"/>
        <w:spacing w:line="360" w:lineRule="auto"/>
        <w:ind w:firstLineChars="200" w:firstLine="560"/>
        <w:rPr>
          <w:sz w:val="28"/>
          <w:szCs w:val="28"/>
        </w:rPr>
      </w:pPr>
      <w:r w:rsidRPr="007866FC">
        <w:rPr>
          <w:sz w:val="28"/>
          <w:szCs w:val="28"/>
        </w:rPr>
        <w:t>5、</w:t>
      </w:r>
      <w:r>
        <w:rPr>
          <w:sz w:val="28"/>
          <w:szCs w:val="28"/>
        </w:rPr>
        <w:t>整体</w:t>
      </w:r>
      <w:r w:rsidRPr="007866FC">
        <w:rPr>
          <w:sz w:val="28"/>
          <w:szCs w:val="28"/>
        </w:rPr>
        <w:t>办学能力稳步提升</w:t>
      </w:r>
    </w:p>
    <w:p w:rsidR="0088429C" w:rsidRDefault="0088429C" w:rsidP="0088429C">
      <w:pPr>
        <w:autoSpaceDE w:val="0"/>
        <w:autoSpaceDN w:val="0"/>
        <w:adjustRightInd w:val="0"/>
        <w:spacing w:line="360" w:lineRule="auto"/>
        <w:ind w:firstLineChars="200" w:firstLine="560"/>
        <w:rPr>
          <w:sz w:val="28"/>
          <w:szCs w:val="28"/>
        </w:rPr>
      </w:pPr>
      <w:r w:rsidRPr="007866FC">
        <w:rPr>
          <w:sz w:val="28"/>
          <w:szCs w:val="28"/>
        </w:rPr>
        <w:t>制定</w:t>
      </w:r>
      <w:r>
        <w:rPr>
          <w:sz w:val="28"/>
          <w:szCs w:val="28"/>
        </w:rPr>
        <w:t>了</w:t>
      </w:r>
      <w:r w:rsidRPr="007866FC">
        <w:rPr>
          <w:sz w:val="28"/>
          <w:szCs w:val="28"/>
        </w:rPr>
        <w:t>《吉首大学“十四五”事业发展总体规划》，州委州政府支持吉首大学师范学院融入吉首大学，州政府无偿划拨</w:t>
      </w:r>
      <w:r>
        <w:rPr>
          <w:sz w:val="28"/>
          <w:szCs w:val="28"/>
        </w:rPr>
        <w:t>吉大师院周边</w:t>
      </w:r>
      <w:r w:rsidRPr="007866FC">
        <w:rPr>
          <w:sz w:val="28"/>
          <w:szCs w:val="28"/>
        </w:rPr>
        <w:t>地块，</w:t>
      </w:r>
      <w:r w:rsidRPr="007866FC">
        <w:rPr>
          <w:sz w:val="28"/>
          <w:szCs w:val="28"/>
        </w:rPr>
        <w:lastRenderedPageBreak/>
        <w:t>可形成容纳13000名学生的吉首大学北校区。办学基础条件</w:t>
      </w:r>
      <w:r>
        <w:rPr>
          <w:sz w:val="28"/>
          <w:szCs w:val="28"/>
        </w:rPr>
        <w:t>得到</w:t>
      </w:r>
      <w:r w:rsidRPr="007866FC">
        <w:rPr>
          <w:sz w:val="28"/>
          <w:szCs w:val="28"/>
        </w:rPr>
        <w:t>显著改善</w:t>
      </w:r>
      <w:r>
        <w:rPr>
          <w:sz w:val="28"/>
          <w:szCs w:val="28"/>
        </w:rPr>
        <w:t>，加强</w:t>
      </w:r>
      <w:r w:rsidRPr="007866FC">
        <w:rPr>
          <w:sz w:val="28"/>
          <w:szCs w:val="28"/>
        </w:rPr>
        <w:t>校内</w:t>
      </w:r>
      <w:r>
        <w:rPr>
          <w:sz w:val="28"/>
          <w:szCs w:val="28"/>
        </w:rPr>
        <w:t>水电基础设施和</w:t>
      </w:r>
      <w:r w:rsidRPr="007866FC">
        <w:rPr>
          <w:sz w:val="28"/>
          <w:szCs w:val="28"/>
        </w:rPr>
        <w:t>15#</w:t>
      </w:r>
      <w:proofErr w:type="gramStart"/>
      <w:r w:rsidRPr="007866FC">
        <w:rPr>
          <w:sz w:val="28"/>
          <w:szCs w:val="28"/>
        </w:rPr>
        <w:t>栋</w:t>
      </w:r>
      <w:r>
        <w:rPr>
          <w:sz w:val="28"/>
          <w:szCs w:val="28"/>
        </w:rPr>
        <w:t>学生</w:t>
      </w:r>
      <w:proofErr w:type="gramEnd"/>
      <w:r>
        <w:rPr>
          <w:sz w:val="28"/>
          <w:szCs w:val="28"/>
        </w:rPr>
        <w:t>公寓建设</w:t>
      </w:r>
      <w:r w:rsidRPr="007866FC">
        <w:rPr>
          <w:sz w:val="28"/>
          <w:szCs w:val="28"/>
        </w:rPr>
        <w:t>。完成砂子</w:t>
      </w:r>
      <w:proofErr w:type="gramStart"/>
      <w:r w:rsidRPr="007866FC">
        <w:rPr>
          <w:sz w:val="28"/>
          <w:szCs w:val="28"/>
        </w:rPr>
        <w:t>坳</w:t>
      </w:r>
      <w:proofErr w:type="gramEnd"/>
      <w:r w:rsidRPr="007866FC">
        <w:rPr>
          <w:sz w:val="28"/>
          <w:szCs w:val="28"/>
        </w:rPr>
        <w:t>校区图书馆加固</w:t>
      </w:r>
      <w:r>
        <w:rPr>
          <w:sz w:val="28"/>
          <w:szCs w:val="28"/>
        </w:rPr>
        <w:t>和</w:t>
      </w:r>
      <w:r w:rsidRPr="007866FC">
        <w:rPr>
          <w:sz w:val="28"/>
          <w:szCs w:val="28"/>
        </w:rPr>
        <w:t>张家界校区综合</w:t>
      </w:r>
      <w:proofErr w:type="gramStart"/>
      <w:r w:rsidRPr="007866FC">
        <w:rPr>
          <w:sz w:val="28"/>
          <w:szCs w:val="28"/>
        </w:rPr>
        <w:t>实训楼和</w:t>
      </w:r>
      <w:proofErr w:type="gramEnd"/>
      <w:r w:rsidRPr="007866FC">
        <w:rPr>
          <w:sz w:val="28"/>
          <w:szCs w:val="28"/>
        </w:rPr>
        <w:t>11#</w:t>
      </w:r>
      <w:proofErr w:type="gramStart"/>
      <w:r w:rsidRPr="007866FC">
        <w:rPr>
          <w:sz w:val="28"/>
          <w:szCs w:val="28"/>
        </w:rPr>
        <w:t>栋学生</w:t>
      </w:r>
      <w:proofErr w:type="gramEnd"/>
      <w:r w:rsidRPr="007866FC">
        <w:rPr>
          <w:sz w:val="28"/>
          <w:szCs w:val="28"/>
        </w:rPr>
        <w:t>公寓连接道路建设。实验教学条件逐步提高。投入2290万元，建成了药学类专业实验中心等6个实验室。投入420万元，立项提质非线性编辑实验室和教师技能发展中心。</w:t>
      </w:r>
    </w:p>
    <w:p w:rsidR="0088429C" w:rsidRDefault="0088429C" w:rsidP="0088429C">
      <w:pPr>
        <w:autoSpaceDE w:val="0"/>
        <w:autoSpaceDN w:val="0"/>
        <w:adjustRightInd w:val="0"/>
        <w:spacing w:line="360" w:lineRule="auto"/>
        <w:ind w:firstLineChars="200" w:firstLine="560"/>
        <w:rPr>
          <w:rFonts w:cs="黑体"/>
          <w:sz w:val="28"/>
          <w:szCs w:val="28"/>
        </w:rPr>
      </w:pPr>
      <w:r>
        <w:rPr>
          <w:sz w:val="28"/>
          <w:szCs w:val="28"/>
        </w:rPr>
        <w:t>6、</w:t>
      </w:r>
      <w:r w:rsidRPr="00CD7939">
        <w:rPr>
          <w:sz w:val="28"/>
          <w:szCs w:val="28"/>
        </w:rPr>
        <w:t>人才培养质量不断提高</w:t>
      </w:r>
    </w:p>
    <w:p w:rsidR="0088429C" w:rsidRDefault="0088429C" w:rsidP="0088429C">
      <w:pPr>
        <w:adjustRightInd w:val="0"/>
        <w:snapToGrid w:val="0"/>
        <w:spacing w:line="360" w:lineRule="auto"/>
        <w:ind w:firstLineChars="200" w:firstLine="560"/>
        <w:rPr>
          <w:sz w:val="28"/>
          <w:szCs w:val="28"/>
        </w:rPr>
      </w:pPr>
      <w:r w:rsidRPr="007E44E7">
        <w:rPr>
          <w:sz w:val="28"/>
          <w:szCs w:val="28"/>
        </w:rPr>
        <w:t>本科生参加A类、B类学科竞赛，获国家级一等奖8项、二等奖36项、三等奖53项，获省级特等奖6项、一等奖138项、二等奖241项、三等奖316项</w:t>
      </w:r>
      <w:r>
        <w:rPr>
          <w:sz w:val="28"/>
          <w:szCs w:val="28"/>
        </w:rPr>
        <w:t>。</w:t>
      </w:r>
      <w:r w:rsidRPr="007E44E7">
        <w:rPr>
          <w:sz w:val="28"/>
          <w:szCs w:val="28"/>
        </w:rPr>
        <w:t>研究生参加学科竞赛，获省级以上奖励67项。</w:t>
      </w:r>
      <w:r w:rsidRPr="00CD7939">
        <w:rPr>
          <w:sz w:val="28"/>
          <w:szCs w:val="28"/>
        </w:rPr>
        <w:t>获湖南省本科教学成果奖</w:t>
      </w:r>
      <w:r>
        <w:rPr>
          <w:sz w:val="28"/>
          <w:szCs w:val="28"/>
        </w:rPr>
        <w:t>13</w:t>
      </w:r>
      <w:r w:rsidRPr="00CD7939">
        <w:rPr>
          <w:sz w:val="28"/>
          <w:szCs w:val="28"/>
        </w:rPr>
        <w:t>项；获湖南省研究生教学成果奖</w:t>
      </w:r>
      <w:r>
        <w:rPr>
          <w:sz w:val="28"/>
          <w:szCs w:val="28"/>
        </w:rPr>
        <w:t>2</w:t>
      </w:r>
      <w:r w:rsidRPr="00CD7939">
        <w:rPr>
          <w:sz w:val="28"/>
          <w:szCs w:val="28"/>
        </w:rPr>
        <w:t>项优秀案例3个</w:t>
      </w:r>
      <w:r>
        <w:rPr>
          <w:sz w:val="28"/>
          <w:szCs w:val="28"/>
        </w:rPr>
        <w:t>，</w:t>
      </w:r>
      <w:r w:rsidRPr="00CD7939">
        <w:rPr>
          <w:sz w:val="28"/>
          <w:szCs w:val="28"/>
        </w:rPr>
        <w:t>获评省级优秀博士硕士论文15篇。获得国家级大学生创新创业训练计划项目33项，省级大学生研究性创新性实验计划项目96项。</w:t>
      </w:r>
      <w:r w:rsidRPr="00F101A7">
        <w:rPr>
          <w:sz w:val="28"/>
          <w:szCs w:val="28"/>
        </w:rPr>
        <w:t>书记校长走访企事业单位107家，签约实习实践基地52家， 2022届研究生就业率达93.25%，本科毕业生年终毕业去向落实率92.2%。</w:t>
      </w:r>
    </w:p>
    <w:p w:rsidR="0088429C" w:rsidRPr="007E44E7" w:rsidRDefault="0088429C" w:rsidP="0088429C">
      <w:pPr>
        <w:spacing w:line="360" w:lineRule="auto"/>
        <w:ind w:firstLineChars="200" w:firstLine="560"/>
        <w:rPr>
          <w:sz w:val="28"/>
          <w:szCs w:val="28"/>
        </w:rPr>
      </w:pPr>
      <w:r>
        <w:rPr>
          <w:sz w:val="28"/>
          <w:szCs w:val="28"/>
        </w:rPr>
        <w:t>7、</w:t>
      </w:r>
      <w:r w:rsidRPr="007E44E7">
        <w:rPr>
          <w:rFonts w:cs="黑体"/>
          <w:sz w:val="28"/>
          <w:szCs w:val="28"/>
        </w:rPr>
        <w:t>科学研究取得新成果</w:t>
      </w:r>
    </w:p>
    <w:p w:rsidR="0088429C" w:rsidRDefault="0088429C" w:rsidP="0088429C">
      <w:pPr>
        <w:spacing w:line="360" w:lineRule="auto"/>
        <w:ind w:firstLineChars="200" w:firstLine="560"/>
        <w:rPr>
          <w:rFonts w:cs="黑体"/>
          <w:sz w:val="28"/>
          <w:szCs w:val="28"/>
        </w:rPr>
      </w:pPr>
      <w:r w:rsidRPr="007E44E7">
        <w:rPr>
          <w:rFonts w:cs="黑体"/>
          <w:sz w:val="28"/>
          <w:szCs w:val="28"/>
        </w:rPr>
        <w:t>获湖南省科技进步奖二等奖2项、自然科学三等奖1项、第十五届湖南省优秀社科成果奖4项；获国家自科、社科基金项目26项，教育部项目4项，国家社科基金立项数列位全省高校前6名。获省社科</w:t>
      </w:r>
      <w:proofErr w:type="gramStart"/>
      <w:r w:rsidRPr="007E44E7">
        <w:rPr>
          <w:rFonts w:cs="黑体"/>
          <w:sz w:val="28"/>
          <w:szCs w:val="28"/>
        </w:rPr>
        <w:t>智库重大</w:t>
      </w:r>
      <w:proofErr w:type="gramEnd"/>
      <w:r w:rsidRPr="007E44E7">
        <w:rPr>
          <w:rFonts w:cs="黑体"/>
          <w:sz w:val="28"/>
          <w:szCs w:val="28"/>
        </w:rPr>
        <w:t>委托项目3项。教师发表SCI论文157篇，CSSCI论文57篇，SSCI论文9篇，CSCD论文49篇。授权各类专利74件，其中发明专利17件，在“湖南省知识产权综合服务信息平台”开放许可专利53件。学校入选首批湖南省高等学校科技成果转化和技术转移基地，首批签约加盟湖南省高校知识产权运营联盟。</w:t>
      </w:r>
    </w:p>
    <w:p w:rsidR="0088429C" w:rsidRDefault="0088429C" w:rsidP="0088429C">
      <w:pPr>
        <w:spacing w:line="360" w:lineRule="auto"/>
        <w:ind w:firstLineChars="200" w:firstLine="560"/>
        <w:rPr>
          <w:rFonts w:cs="黑体"/>
          <w:sz w:val="28"/>
          <w:szCs w:val="28"/>
        </w:rPr>
      </w:pPr>
      <w:r>
        <w:rPr>
          <w:sz w:val="28"/>
          <w:szCs w:val="28"/>
        </w:rPr>
        <w:lastRenderedPageBreak/>
        <w:t>8、</w:t>
      </w:r>
      <w:r w:rsidRPr="007E44E7">
        <w:rPr>
          <w:rFonts w:cs="黑体"/>
          <w:sz w:val="28"/>
          <w:szCs w:val="28"/>
        </w:rPr>
        <w:t>师资支撑能力得到增强</w:t>
      </w:r>
    </w:p>
    <w:p w:rsidR="0088429C" w:rsidRDefault="0088429C" w:rsidP="0088429C">
      <w:pPr>
        <w:spacing w:line="360" w:lineRule="auto"/>
        <w:ind w:firstLineChars="200" w:firstLine="560"/>
        <w:rPr>
          <w:rFonts w:cs="黑体"/>
          <w:sz w:val="28"/>
          <w:szCs w:val="28"/>
        </w:rPr>
      </w:pPr>
      <w:r w:rsidRPr="007E44E7">
        <w:rPr>
          <w:rFonts w:cs="黑体"/>
          <w:sz w:val="28"/>
          <w:szCs w:val="28"/>
        </w:rPr>
        <w:t>俊彦学者计划2.0版即将实施。严把教师选用关，全年引进教师103名，培养和引进博士教师33名，坚持对新引进博士开展政治审查、档案审核、心理检测、学术成果查验，新引进博士综合素质显著提高。新增教授10名、副教授21名、讲师28名。获省级研究生教育优秀团队4个，6名教师被评为省级优秀导师。多</w:t>
      </w:r>
      <w:proofErr w:type="gramStart"/>
      <w:r w:rsidRPr="007E44E7">
        <w:rPr>
          <w:rFonts w:cs="黑体"/>
          <w:sz w:val="28"/>
          <w:szCs w:val="28"/>
        </w:rPr>
        <w:t>措</w:t>
      </w:r>
      <w:proofErr w:type="gramEnd"/>
      <w:r w:rsidRPr="007E44E7">
        <w:rPr>
          <w:rFonts w:cs="黑体"/>
          <w:sz w:val="28"/>
          <w:szCs w:val="28"/>
        </w:rPr>
        <w:t>并举</w:t>
      </w:r>
      <w:proofErr w:type="gramStart"/>
      <w:r w:rsidRPr="007E44E7">
        <w:rPr>
          <w:rFonts w:cs="黑体"/>
          <w:sz w:val="28"/>
          <w:szCs w:val="28"/>
        </w:rPr>
        <w:t>充实思政课</w:t>
      </w:r>
      <w:proofErr w:type="gramEnd"/>
      <w:r w:rsidRPr="007E44E7">
        <w:rPr>
          <w:rFonts w:cs="黑体"/>
          <w:sz w:val="28"/>
          <w:szCs w:val="28"/>
        </w:rPr>
        <w:t>教师队伍，</w:t>
      </w:r>
      <w:proofErr w:type="gramStart"/>
      <w:r w:rsidRPr="007E44E7">
        <w:rPr>
          <w:rFonts w:cs="黑体"/>
          <w:sz w:val="28"/>
          <w:szCs w:val="28"/>
        </w:rPr>
        <w:t>思政课</w:t>
      </w:r>
      <w:proofErr w:type="gramEnd"/>
      <w:r w:rsidRPr="007E44E7">
        <w:rPr>
          <w:rFonts w:cs="黑体"/>
          <w:sz w:val="28"/>
          <w:szCs w:val="28"/>
        </w:rPr>
        <w:t>教师总量达到基本要求。加强师德师风教育，开展“十佳青年教工”“十佳师德先进个人”评选，外国语学院郭建飞</w:t>
      </w:r>
      <w:proofErr w:type="gramStart"/>
      <w:r w:rsidRPr="007E44E7">
        <w:rPr>
          <w:rFonts w:cs="黑体"/>
          <w:sz w:val="28"/>
          <w:szCs w:val="28"/>
        </w:rPr>
        <w:t>老师获评全省</w:t>
      </w:r>
      <w:proofErr w:type="gramEnd"/>
      <w:r w:rsidRPr="007E44E7">
        <w:rPr>
          <w:rFonts w:cs="黑体"/>
          <w:sz w:val="28"/>
          <w:szCs w:val="28"/>
        </w:rPr>
        <w:t>教育系统“芙蓉百岗明星”。</w:t>
      </w:r>
    </w:p>
    <w:p w:rsidR="0088429C" w:rsidRDefault="0088429C" w:rsidP="0088429C">
      <w:pPr>
        <w:spacing w:line="360" w:lineRule="auto"/>
        <w:ind w:firstLineChars="200" w:firstLine="560"/>
        <w:rPr>
          <w:rFonts w:cs="黑体"/>
          <w:sz w:val="28"/>
          <w:szCs w:val="28"/>
        </w:rPr>
      </w:pPr>
      <w:r>
        <w:rPr>
          <w:sz w:val="28"/>
          <w:szCs w:val="28"/>
        </w:rPr>
        <w:t>9、</w:t>
      </w:r>
      <w:r w:rsidRPr="00C83A3F">
        <w:rPr>
          <w:rFonts w:cs="黑体"/>
          <w:sz w:val="28"/>
          <w:szCs w:val="28"/>
        </w:rPr>
        <w:t>坚持服务地方发展</w:t>
      </w:r>
    </w:p>
    <w:p w:rsidR="0088429C" w:rsidRPr="00465822" w:rsidRDefault="0088429C" w:rsidP="0088429C">
      <w:pPr>
        <w:spacing w:line="360" w:lineRule="auto"/>
        <w:ind w:firstLineChars="200" w:firstLine="560"/>
        <w:rPr>
          <w:rFonts w:cs="黑体"/>
          <w:sz w:val="28"/>
          <w:szCs w:val="28"/>
        </w:rPr>
      </w:pPr>
      <w:r w:rsidRPr="00C83A3F">
        <w:rPr>
          <w:rFonts w:cs="黑体"/>
          <w:sz w:val="28"/>
          <w:szCs w:val="28"/>
        </w:rPr>
        <w:t>全面加强校地合作。与湘西州政府、湘西州高新区、吉首市、张家界市、酒鬼酒公司等地方政府和企业签订战略合作协议和产学研合作协议，与吉首市合作共建直属型三甲附属医院、附属学校，与酒鬼酒公司合作开展白酒酿造专业建设和科技研发。主动服务乡村振兴。积极推动省级研究平台“湖南省乡村振兴战略研究中心”建设。派出科技特派员、三区人才55人赴怀化市、张家界市、湘西州多个乡镇进行科技帮扶</w:t>
      </w:r>
      <w:r>
        <w:rPr>
          <w:rFonts w:cs="黑体"/>
          <w:sz w:val="28"/>
          <w:szCs w:val="28"/>
        </w:rPr>
        <w:t>。</w:t>
      </w:r>
      <w:r w:rsidRPr="00C83A3F">
        <w:rPr>
          <w:rFonts w:cs="黑体"/>
          <w:sz w:val="28"/>
          <w:szCs w:val="28"/>
        </w:rPr>
        <w:t>学校西部办被国家西部志愿者项目办连续8年评为优秀项目办。积极推进成果转化。学校全年授权各类专利74件，其中发明专利17件，在“湖南省知识产权综合服务信息平台”开放许可专利53件。学校入选首批湖南省高等学校科技成果转化和技术转移基地，首批签约加盟湖南省高校知识产权运营联盟。</w:t>
      </w:r>
    </w:p>
    <w:p w:rsidR="0088429C" w:rsidRPr="0088429C" w:rsidRDefault="0088429C">
      <w:pPr>
        <w:keepNext/>
        <w:keepLines/>
        <w:autoSpaceDE w:val="0"/>
        <w:autoSpaceDN w:val="0"/>
        <w:adjustRightInd w:val="0"/>
        <w:spacing w:line="360" w:lineRule="auto"/>
        <w:ind w:firstLineChars="200" w:firstLine="560"/>
        <w:rPr>
          <w:sz w:val="28"/>
          <w:szCs w:val="28"/>
        </w:rPr>
        <w:sectPr w:rsidR="0088429C" w:rsidRPr="0088429C">
          <w:pgSz w:w="12240" w:h="15840"/>
          <w:pgMar w:top="1440" w:right="1800" w:bottom="1440" w:left="1800" w:header="720" w:footer="720" w:gutter="0"/>
          <w:cols w:space="720"/>
        </w:sectPr>
      </w:pPr>
    </w:p>
    <w:p w:rsidR="00B87C8A" w:rsidRDefault="00B87C8A" w:rsidP="002644E6">
      <w:pPr>
        <w:autoSpaceDE w:val="0"/>
        <w:autoSpaceDN w:val="0"/>
        <w:adjustRightInd w:val="0"/>
        <w:rPr>
          <w:rFonts w:ascii="黑体" w:eastAsia="黑体" w:cs="黑体"/>
          <w:sz w:val="84"/>
          <w:szCs w:val="84"/>
        </w:rPr>
      </w:pPr>
    </w:p>
    <w:p w:rsidR="00B87C8A" w:rsidRDefault="00B87C8A" w:rsidP="002644E6">
      <w:pPr>
        <w:autoSpaceDE w:val="0"/>
        <w:autoSpaceDN w:val="0"/>
        <w:adjustRightInd w:val="0"/>
        <w:rPr>
          <w:rFonts w:ascii="黑体" w:eastAsia="黑体" w:cs="黑体"/>
          <w:sz w:val="84"/>
          <w:szCs w:val="84"/>
        </w:rPr>
      </w:pPr>
    </w:p>
    <w:p w:rsidR="00B87C8A" w:rsidRPr="009B5C86" w:rsidRDefault="00B87C8A" w:rsidP="002644E6">
      <w:pPr>
        <w:autoSpaceDE w:val="0"/>
        <w:autoSpaceDN w:val="0"/>
        <w:adjustRightInd w:val="0"/>
        <w:rPr>
          <w:rFonts w:ascii="黑体" w:eastAsia="黑体" w:cs="黑体"/>
          <w:sz w:val="84"/>
          <w:szCs w:val="84"/>
        </w:rPr>
      </w:pPr>
    </w:p>
    <w:p w:rsidR="00B87C8A" w:rsidRDefault="002D1C8A" w:rsidP="002644E6">
      <w:pPr>
        <w:autoSpaceDE w:val="0"/>
        <w:autoSpaceDN w:val="0"/>
        <w:adjustRightInd w:val="0"/>
        <w:jc w:val="center"/>
        <w:rPr>
          <w:rFonts w:ascii="黑体" w:eastAsia="黑体" w:cs="黑体"/>
          <w:sz w:val="84"/>
          <w:szCs w:val="84"/>
        </w:rPr>
      </w:pPr>
      <w:r>
        <w:rPr>
          <w:rFonts w:ascii="黑体" w:eastAsia="黑体" w:cs="黑体"/>
          <w:sz w:val="84"/>
          <w:szCs w:val="84"/>
        </w:rPr>
        <w:t>第四部分</w:t>
      </w:r>
    </w:p>
    <w:p w:rsidR="00B87C8A" w:rsidRDefault="002D1C8A" w:rsidP="00BA356D">
      <w:pPr>
        <w:autoSpaceDE w:val="0"/>
        <w:autoSpaceDN w:val="0"/>
        <w:adjustRightInd w:val="0"/>
        <w:spacing w:beforeLines="100" w:before="240"/>
        <w:jc w:val="center"/>
        <w:rPr>
          <w:rFonts w:ascii="Times New Roman" w:eastAsia="黑体" w:hAnsi="Times New Roman"/>
          <w:sz w:val="84"/>
          <w:szCs w:val="84"/>
        </w:rPr>
      </w:pPr>
      <w:r>
        <w:rPr>
          <w:rFonts w:ascii="黑体" w:eastAsia="黑体" w:cs="黑体"/>
          <w:sz w:val="84"/>
          <w:szCs w:val="84"/>
        </w:rPr>
        <w:t>名词解释</w:t>
      </w:r>
    </w:p>
    <w:p w:rsidR="00B87C8A" w:rsidRDefault="00B87C8A">
      <w:pPr>
        <w:keepNext/>
        <w:keepLines/>
        <w:autoSpaceDE w:val="0"/>
        <w:autoSpaceDN w:val="0"/>
        <w:adjustRightInd w:val="0"/>
        <w:spacing w:line="360" w:lineRule="auto"/>
        <w:rPr>
          <w:sz w:val="28"/>
          <w:szCs w:val="28"/>
        </w:rPr>
        <w:sectPr w:rsidR="00B87C8A">
          <w:pgSz w:w="12240" w:h="15840"/>
          <w:pgMar w:top="1440" w:right="1800" w:bottom="1440" w:left="1800" w:header="720" w:footer="720" w:gutter="0"/>
          <w:cols w:space="720"/>
        </w:sectPr>
      </w:pP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财政拨款收入：指本级财政当年拨付的资金。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事业收入：指事业单位开展专业业务活动及辅助活动所取得的收入。</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其他收入：指除上述</w:t>
      </w:r>
      <w:r>
        <w:rPr>
          <w:rFonts w:cs="黑体"/>
          <w:sz w:val="28"/>
          <w:szCs w:val="28"/>
        </w:rPr>
        <w:t>“</w:t>
      </w:r>
      <w:r>
        <w:rPr>
          <w:sz w:val="28"/>
          <w:szCs w:val="28"/>
        </w:rPr>
        <w:t>财政拨款收入</w:t>
      </w:r>
      <w:r>
        <w:rPr>
          <w:rFonts w:cs="黑体"/>
          <w:sz w:val="28"/>
          <w:szCs w:val="28"/>
        </w:rPr>
        <w:t>”</w:t>
      </w:r>
      <w:r>
        <w:rPr>
          <w:sz w:val="28"/>
          <w:szCs w:val="28"/>
        </w:rPr>
        <w:t>、</w:t>
      </w:r>
      <w:r>
        <w:rPr>
          <w:rFonts w:cs="黑体"/>
          <w:sz w:val="28"/>
          <w:szCs w:val="28"/>
        </w:rPr>
        <w:t>“</w:t>
      </w:r>
      <w:r>
        <w:rPr>
          <w:sz w:val="28"/>
          <w:szCs w:val="28"/>
        </w:rPr>
        <w:t>上级补助收入</w:t>
      </w:r>
      <w:r>
        <w:rPr>
          <w:rFonts w:cs="黑体"/>
          <w:sz w:val="28"/>
          <w:szCs w:val="28"/>
        </w:rPr>
        <w:t>”</w:t>
      </w:r>
      <w:r>
        <w:rPr>
          <w:sz w:val="28"/>
          <w:szCs w:val="28"/>
        </w:rPr>
        <w:t>、</w:t>
      </w:r>
      <w:r>
        <w:rPr>
          <w:rFonts w:cs="黑体"/>
          <w:sz w:val="28"/>
          <w:szCs w:val="28"/>
        </w:rPr>
        <w:t>“</w:t>
      </w:r>
      <w:r>
        <w:rPr>
          <w:sz w:val="28"/>
          <w:szCs w:val="28"/>
        </w:rPr>
        <w:t>事业收入</w:t>
      </w:r>
      <w:r>
        <w:rPr>
          <w:rFonts w:cs="黑体"/>
          <w:sz w:val="28"/>
          <w:szCs w:val="28"/>
        </w:rPr>
        <w:t>”</w:t>
      </w:r>
      <w:r>
        <w:rPr>
          <w:sz w:val="28"/>
          <w:szCs w:val="28"/>
        </w:rPr>
        <w:t>、</w:t>
      </w:r>
      <w:r>
        <w:rPr>
          <w:rFonts w:cs="黑体"/>
          <w:sz w:val="28"/>
          <w:szCs w:val="28"/>
        </w:rPr>
        <w:t>“</w:t>
      </w:r>
      <w:r>
        <w:rPr>
          <w:sz w:val="28"/>
          <w:szCs w:val="28"/>
        </w:rPr>
        <w:t>经营收入</w:t>
      </w:r>
      <w:r>
        <w:rPr>
          <w:rFonts w:cs="黑体"/>
          <w:sz w:val="28"/>
          <w:szCs w:val="28"/>
        </w:rPr>
        <w:t>”</w:t>
      </w:r>
      <w:r>
        <w:rPr>
          <w:sz w:val="28"/>
          <w:szCs w:val="28"/>
        </w:rPr>
        <w:t>、</w:t>
      </w:r>
      <w:r>
        <w:rPr>
          <w:rFonts w:cs="黑体"/>
          <w:sz w:val="28"/>
          <w:szCs w:val="28"/>
        </w:rPr>
        <w:t>“</w:t>
      </w:r>
      <w:r>
        <w:rPr>
          <w:sz w:val="28"/>
          <w:szCs w:val="28"/>
        </w:rPr>
        <w:t>附属单位上缴收入</w:t>
      </w:r>
      <w:r>
        <w:rPr>
          <w:rFonts w:cs="黑体"/>
          <w:sz w:val="28"/>
          <w:szCs w:val="28"/>
        </w:rPr>
        <w:t>”</w:t>
      </w:r>
      <w:r>
        <w:rPr>
          <w:sz w:val="28"/>
          <w:szCs w:val="28"/>
        </w:rPr>
        <w:t>等以外的收入。</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使用非财政拨款结余：指事业单位在当年的</w:t>
      </w:r>
      <w:r>
        <w:rPr>
          <w:rFonts w:cs="黑体"/>
          <w:sz w:val="28"/>
          <w:szCs w:val="28"/>
        </w:rPr>
        <w:t>“</w:t>
      </w:r>
      <w:r>
        <w:rPr>
          <w:sz w:val="28"/>
          <w:szCs w:val="28"/>
        </w:rPr>
        <w:t>财政拨款收入</w:t>
      </w:r>
      <w:r>
        <w:rPr>
          <w:rFonts w:cs="黑体"/>
          <w:sz w:val="28"/>
          <w:szCs w:val="28"/>
        </w:rPr>
        <w:t>”</w:t>
      </w:r>
      <w:r>
        <w:rPr>
          <w:sz w:val="28"/>
          <w:szCs w:val="28"/>
        </w:rPr>
        <w:t>、</w:t>
      </w:r>
      <w:r>
        <w:rPr>
          <w:rFonts w:cs="黑体"/>
          <w:sz w:val="28"/>
          <w:szCs w:val="28"/>
        </w:rPr>
        <w:t>“</w:t>
      </w:r>
      <w:r>
        <w:rPr>
          <w:sz w:val="28"/>
          <w:szCs w:val="28"/>
        </w:rPr>
        <w:t>财政拨款结转和结余资金</w:t>
      </w:r>
      <w:r>
        <w:rPr>
          <w:rFonts w:cs="黑体"/>
          <w:sz w:val="28"/>
          <w:szCs w:val="28"/>
        </w:rPr>
        <w:t>”</w:t>
      </w:r>
      <w:r>
        <w:rPr>
          <w:sz w:val="28"/>
          <w:szCs w:val="28"/>
        </w:rPr>
        <w:t>、</w:t>
      </w:r>
      <w:r>
        <w:rPr>
          <w:rFonts w:cs="黑体"/>
          <w:sz w:val="28"/>
          <w:szCs w:val="28"/>
        </w:rPr>
        <w:t>“</w:t>
      </w:r>
      <w:r>
        <w:rPr>
          <w:sz w:val="28"/>
          <w:szCs w:val="28"/>
        </w:rPr>
        <w:t>上级补助收入</w:t>
      </w:r>
      <w:r>
        <w:rPr>
          <w:rFonts w:cs="黑体"/>
          <w:sz w:val="28"/>
          <w:szCs w:val="28"/>
        </w:rPr>
        <w:t>”</w:t>
      </w:r>
      <w:r>
        <w:rPr>
          <w:sz w:val="28"/>
          <w:szCs w:val="28"/>
        </w:rPr>
        <w:t>、</w:t>
      </w:r>
      <w:r>
        <w:rPr>
          <w:rFonts w:cs="黑体"/>
          <w:sz w:val="28"/>
          <w:szCs w:val="28"/>
        </w:rPr>
        <w:t>“</w:t>
      </w:r>
      <w:r>
        <w:rPr>
          <w:sz w:val="28"/>
          <w:szCs w:val="28"/>
        </w:rPr>
        <w:t>事业收入</w:t>
      </w:r>
      <w:r>
        <w:rPr>
          <w:rFonts w:cs="黑体"/>
          <w:sz w:val="28"/>
          <w:szCs w:val="28"/>
        </w:rPr>
        <w:t>”</w:t>
      </w:r>
      <w:r>
        <w:rPr>
          <w:sz w:val="28"/>
          <w:szCs w:val="28"/>
        </w:rPr>
        <w:t>、</w:t>
      </w:r>
      <w:r>
        <w:rPr>
          <w:rFonts w:cs="黑体"/>
          <w:sz w:val="28"/>
          <w:szCs w:val="28"/>
        </w:rPr>
        <w:t>“</w:t>
      </w:r>
      <w:r>
        <w:rPr>
          <w:sz w:val="28"/>
          <w:szCs w:val="28"/>
        </w:rPr>
        <w:t>经营收入</w:t>
      </w:r>
      <w:r>
        <w:rPr>
          <w:rFonts w:cs="黑体"/>
          <w:sz w:val="28"/>
          <w:szCs w:val="28"/>
        </w:rPr>
        <w:t>”</w:t>
      </w:r>
      <w:r>
        <w:rPr>
          <w:sz w:val="28"/>
          <w:szCs w:val="28"/>
        </w:rPr>
        <w:t>、</w:t>
      </w:r>
      <w:r>
        <w:rPr>
          <w:rFonts w:cs="黑体"/>
          <w:sz w:val="28"/>
          <w:szCs w:val="28"/>
        </w:rPr>
        <w:t>“</w:t>
      </w:r>
      <w:r>
        <w:rPr>
          <w:sz w:val="28"/>
          <w:szCs w:val="28"/>
        </w:rPr>
        <w:t>附属单位上缴收入</w:t>
      </w:r>
      <w:r>
        <w:rPr>
          <w:rFonts w:cs="黑体"/>
          <w:sz w:val="28"/>
          <w:szCs w:val="28"/>
        </w:rPr>
        <w:t>”</w:t>
      </w:r>
      <w:r>
        <w:rPr>
          <w:sz w:val="28"/>
          <w:szCs w:val="28"/>
        </w:rPr>
        <w:t>、</w:t>
      </w:r>
      <w:r>
        <w:rPr>
          <w:rFonts w:cs="黑体"/>
          <w:sz w:val="28"/>
          <w:szCs w:val="28"/>
        </w:rPr>
        <w:t>“</w:t>
      </w:r>
      <w:r>
        <w:rPr>
          <w:sz w:val="28"/>
          <w:szCs w:val="28"/>
        </w:rPr>
        <w:t>其他收入</w:t>
      </w:r>
      <w:r>
        <w:rPr>
          <w:rFonts w:cs="黑体"/>
          <w:sz w:val="28"/>
          <w:szCs w:val="28"/>
        </w:rPr>
        <w:t>”</w:t>
      </w:r>
      <w:r>
        <w:rPr>
          <w:sz w:val="28"/>
          <w:szCs w:val="28"/>
        </w:rPr>
        <w:t>不足以安排当年支出情况下，使用以前年度积累的使用非财政拨款结余弥补收支差额的资金（事业单位当年收支相抵后按国家规定提取、用于弥补以后年度收支差额的非财政拨款结余）。</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上年结转和结余：指以前年度尚未完成、结转到本年按有关规定继续使用的资金。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年末结转和结余资金：指本年度或以前年度预算安排、因客观条件发生变化无法按原计划实施，需要延迟到以后年度按有关规定继续使用的资金。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教育支出（类）：是指用于政府教育事务支出，包括保障机构正常运转、完成日常和特定的工作任务或事业发展目标的支出。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科学技术支出（类）：是指用于科学技术方面的支出，包括保障机构正常运转、完成日常和特定的工作任务或事业发展目标的支出。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文化体育与传媒支出（类）：是指用于文化、文物、体育、新闻出版广播影视等方面的支出，包括保障机构正常运转、完成日常和特定的工作任务或事业发展目标的支出。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卫生健康支出（类）：是指用于医疗卫生与计划生育方面的支出，包括保障机构正常运转、完成日常和特定的工作任务或事业发展目标的支出。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住房保障支出（类）：是指用于住房方面的支出，包括保障机构正常运转、完成日常和特定的工作任务或事业发展目标的支出。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基本支出：</w:t>
      </w:r>
      <w:proofErr w:type="gramStart"/>
      <w:r>
        <w:rPr>
          <w:sz w:val="28"/>
          <w:szCs w:val="28"/>
        </w:rPr>
        <w:t>指保障</w:t>
      </w:r>
      <w:proofErr w:type="gramEnd"/>
      <w:r>
        <w:rPr>
          <w:sz w:val="28"/>
          <w:szCs w:val="28"/>
        </w:rPr>
        <w:t>机构正常运转、完成支日常工作任务而发生的人员支出和公用支出。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项目支出：指在基本支出之外为完成特定行政任务和事业发展目标所发生的支出。</w:t>
      </w:r>
    </w:p>
    <w:p w:rsidR="00B87C8A" w:rsidRDefault="002D1C8A" w:rsidP="002644E6">
      <w:pPr>
        <w:autoSpaceDE w:val="0"/>
        <w:autoSpaceDN w:val="0"/>
        <w:adjustRightInd w:val="0"/>
        <w:spacing w:line="360" w:lineRule="auto"/>
        <w:ind w:firstLineChars="200" w:firstLine="560"/>
        <w:rPr>
          <w:rFonts w:cs="黑体"/>
          <w:sz w:val="28"/>
          <w:szCs w:val="28"/>
        </w:rPr>
      </w:pPr>
      <w:r>
        <w:rPr>
          <w:rFonts w:cs="黑体"/>
          <w:sz w:val="28"/>
          <w:szCs w:val="28"/>
        </w:rPr>
        <w:t>“</w:t>
      </w:r>
      <w:r>
        <w:rPr>
          <w:sz w:val="28"/>
          <w:szCs w:val="28"/>
        </w:rPr>
        <w:t>三公</w:t>
      </w:r>
      <w:r>
        <w:rPr>
          <w:rFonts w:cs="黑体"/>
          <w:sz w:val="28"/>
          <w:szCs w:val="28"/>
        </w:rPr>
        <w:t>”</w:t>
      </w:r>
      <w:r>
        <w:rPr>
          <w:sz w:val="28"/>
          <w:szCs w:val="28"/>
        </w:rPr>
        <w:t>经费：指用财政拨款安排的因公出国（境）费、公务用车购置及运行费和公务接待费。其中，因公出国（境）</w:t>
      </w:r>
      <w:proofErr w:type="gramStart"/>
      <w:r>
        <w:rPr>
          <w:sz w:val="28"/>
          <w:szCs w:val="28"/>
        </w:rPr>
        <w:t>费反映</w:t>
      </w:r>
      <w:proofErr w:type="gramEnd"/>
      <w:r>
        <w:rPr>
          <w:sz w:val="28"/>
          <w:szCs w:val="28"/>
        </w:rPr>
        <w:t>出国（境）的住宿费、旅费、伙食补助费、杂费、培训费等支出；公务用车购置及运行</w:t>
      </w:r>
      <w:proofErr w:type="gramStart"/>
      <w:r>
        <w:rPr>
          <w:sz w:val="28"/>
          <w:szCs w:val="28"/>
        </w:rPr>
        <w:t>费反映</w:t>
      </w:r>
      <w:proofErr w:type="gramEnd"/>
      <w:r>
        <w:rPr>
          <w:sz w:val="28"/>
          <w:szCs w:val="28"/>
        </w:rPr>
        <w:t>单位公务用车购置费及租用费、燃料费、维修费、过路过桥</w:t>
      </w:r>
      <w:r>
        <w:rPr>
          <w:sz w:val="28"/>
          <w:szCs w:val="28"/>
        </w:rPr>
        <w:lastRenderedPageBreak/>
        <w:t>费、保险费、安全奖励费用等支出；公务接待</w:t>
      </w:r>
      <w:proofErr w:type="gramStart"/>
      <w:r>
        <w:rPr>
          <w:sz w:val="28"/>
          <w:szCs w:val="28"/>
        </w:rPr>
        <w:t>费反映</w:t>
      </w:r>
      <w:proofErr w:type="gramEnd"/>
      <w:r>
        <w:rPr>
          <w:sz w:val="28"/>
          <w:szCs w:val="28"/>
        </w:rPr>
        <w:t>单位按规定开支的各类公务接待（含外宾接待）支出。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政府采购 ：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工资福利支出：反映单位开支的在职职工和编制</w:t>
      </w:r>
      <w:proofErr w:type="gramStart"/>
      <w:r>
        <w:rPr>
          <w:sz w:val="28"/>
          <w:szCs w:val="28"/>
        </w:rPr>
        <w:t>外长期</w:t>
      </w:r>
      <w:proofErr w:type="gramEnd"/>
      <w:r>
        <w:rPr>
          <w:sz w:val="28"/>
          <w:szCs w:val="28"/>
        </w:rPr>
        <w:t>聘用人员的各类劳动报酬，以及为上述人员缴纳的各项社会保险费等。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津贴补贴：反映经国家批准建立的机关事业单位艰苦边远地区津贴、机关工作人员地区附加津贴、机关工作人员岗位津贴、事业单位工作人员特殊岗位津贴补贴等。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绩效工资：反映事业单位工作人员的绩效工资。</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机关事业单位基本养老保险缴费：反映机关事业单位缴纳的基本养老保险费。由单位代扣的工作人员基本养老保险缴费，不在此科目反映。</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职工基本医疗保险缴费：反映单位为职工缴纳的基本医疗保险费。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其他社会保障缴费：反映单位为职工缴纳的基本医疗、失业、工伤、生育等社会保险费，残疾人就业保障金，军队（含武警）为军人缴纳的伤亡、退役医疗等社会保险费。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住房公积金：反映行政事业单位按人力资源和社会保障部、财政部规定的基本工资和津贴补贴以及规定比例为职工缴纳的住房公积金。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其他工资福利支出：反映上述项目未包括的人员支出，如各种加班工资、病假两个月以上期间的人员工资、编制</w:t>
      </w:r>
      <w:proofErr w:type="gramStart"/>
      <w:r>
        <w:rPr>
          <w:sz w:val="28"/>
          <w:szCs w:val="28"/>
        </w:rPr>
        <w:t>外长期</w:t>
      </w:r>
      <w:proofErr w:type="gramEnd"/>
      <w:r>
        <w:rPr>
          <w:sz w:val="28"/>
          <w:szCs w:val="28"/>
        </w:rPr>
        <w:t>聘用人员，公务员及参照和依照公务员制度管理的单位工作人员转入企业工作并按规定参加企业职工基本养老保险后给予的一次性补贴等。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商品和服务支出：反映单位购买商品和服务的支出（不包括用于购置固定资产的支出、战略性和应急储备支出）。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办公费：反映单位购买按财务会计制度规定不符合固定资产确认标准的日常办公用品、书报杂志等支出。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印刷费：反映单位的印刷费支出。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邮电费：反映单位开支的信函、包裹、货物等物品的邮寄费及电话费、电报费、传真费、网络通讯费等。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物业管理费：反映单位开支的办公用房以及未实行职工住宅物业服务改革的在职职工和离退休人员宿舍等的物业管理费，包括综合治理、绿化、卫生等方面的支出。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差旅费：反映单位工作人员出差发生的城市间交通费、住宿费、伙食补贴费和市内交通费。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公务接待费：反映单位按规定开支的各类公务接待（含外宾接待）费用。</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劳务费：反映支付给单位和个人的劳务费用，如临时聘用人员、钟点工工资，稿费、翻译费，评审费等。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委托业务费：反映因委托外单位办理业务而支付的委托业务费。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其他交通费用：反映单位除公务用车运行维护费以外的其他交通费用。如公务交通补贴，租车费用、出租车费用，飞机、船舶等的燃料费、维修费、保险费等。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其他商品和服务支出：反映上述科目未包括的日常公用支出。如行政赔偿费和诉讼费、国内组织的会员费、来访费、广告宣传、其他劳务费及离休人员特需费、公用经费等。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对个人和家庭的补助：反映政府用于对个人和家庭的补助支出。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离休费：反映行政事业单位和军队移交政府安置的离休人员的离休费、护理费和其他补贴。</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抚恤金：反映按规定开支的烈士遗属、牺牲病故人员遗属的一次性和定期抚恤金，伤残人员的抚恤金，离退休人员等其他人员的各项抚恤金。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w:t>
      </w:r>
      <w:proofErr w:type="gramStart"/>
      <w:r>
        <w:rPr>
          <w:sz w:val="28"/>
          <w:szCs w:val="28"/>
        </w:rPr>
        <w:t>饲政策</w:t>
      </w:r>
      <w:proofErr w:type="gramEnd"/>
      <w:r>
        <w:rPr>
          <w:sz w:val="28"/>
          <w:szCs w:val="28"/>
        </w:rPr>
        <w:t>补偿给农牧民的现金、粮食支出，对农村党员、复员军人以及村干部的补助支出，看守人员和犯人的伙食费、药费等。</w:t>
      </w:r>
    </w:p>
    <w:p w:rsidR="00B87C8A" w:rsidRPr="007F7A26" w:rsidRDefault="002D1C8A" w:rsidP="002644E6">
      <w:pPr>
        <w:autoSpaceDE w:val="0"/>
        <w:autoSpaceDN w:val="0"/>
        <w:adjustRightInd w:val="0"/>
        <w:spacing w:line="360" w:lineRule="auto"/>
        <w:ind w:firstLineChars="200" w:firstLine="560"/>
        <w:rPr>
          <w:rFonts w:cs="黑体"/>
          <w:sz w:val="28"/>
          <w:szCs w:val="28"/>
        </w:rPr>
      </w:pPr>
      <w:r>
        <w:rPr>
          <w:sz w:val="28"/>
          <w:szCs w:val="28"/>
        </w:rPr>
        <w:t>机关运行经费：指为保障行政单位（包括参照公务员法管理的事业单位）运行用于购买货物和服务的各项资金，包括办公及印刷费、邮电费、差旅费、会议费、福利费、日常维修费、专用材料及一般设备购置</w:t>
      </w:r>
      <w:r>
        <w:rPr>
          <w:sz w:val="28"/>
          <w:szCs w:val="28"/>
        </w:rPr>
        <w:lastRenderedPageBreak/>
        <w:t>费、办公用房水电费、办公用房取暖费、 办公用房物业管理费、 公务用车运行维护费以及其他费用。</w:t>
      </w:r>
    </w:p>
    <w:p w:rsidR="00B87C8A" w:rsidRDefault="00B87C8A" w:rsidP="002644E6">
      <w:pPr>
        <w:autoSpaceDE w:val="0"/>
        <w:autoSpaceDN w:val="0"/>
        <w:adjustRightInd w:val="0"/>
        <w:spacing w:line="360" w:lineRule="auto"/>
        <w:ind w:firstLineChars="200" w:firstLine="640"/>
        <w:rPr>
          <w:rFonts w:ascii="黑体" w:eastAsia="黑体" w:hAnsi="Times New Roman" w:cs="黑体"/>
          <w:sz w:val="32"/>
          <w:szCs w:val="32"/>
        </w:rPr>
        <w:sectPr w:rsidR="00B87C8A">
          <w:pgSz w:w="12240" w:h="15840"/>
          <w:pgMar w:top="1440" w:right="1800" w:bottom="1440" w:left="1800" w:header="720" w:footer="720" w:gutter="0"/>
          <w:cols w:space="720"/>
        </w:sectPr>
      </w:pPr>
    </w:p>
    <w:p w:rsidR="00B87C8A" w:rsidRDefault="00B87C8A" w:rsidP="002644E6">
      <w:pPr>
        <w:autoSpaceDE w:val="0"/>
        <w:autoSpaceDN w:val="0"/>
        <w:adjustRightInd w:val="0"/>
        <w:spacing w:line="360" w:lineRule="auto"/>
        <w:rPr>
          <w:rFonts w:ascii="黑体" w:eastAsia="黑体" w:hAnsi="Times New Roman" w:cs="黑体"/>
          <w:sz w:val="84"/>
          <w:szCs w:val="84"/>
        </w:rPr>
      </w:pPr>
    </w:p>
    <w:p w:rsidR="00B87C8A" w:rsidRDefault="00B87C8A" w:rsidP="002644E6">
      <w:pPr>
        <w:autoSpaceDE w:val="0"/>
        <w:autoSpaceDN w:val="0"/>
        <w:adjustRightInd w:val="0"/>
        <w:spacing w:line="360" w:lineRule="auto"/>
        <w:rPr>
          <w:rFonts w:ascii="黑体" w:eastAsia="黑体" w:hAnsi="Times New Roman" w:cs="黑体"/>
          <w:sz w:val="84"/>
          <w:szCs w:val="84"/>
        </w:rPr>
      </w:pPr>
    </w:p>
    <w:p w:rsidR="00B87C8A" w:rsidRDefault="002D1C8A" w:rsidP="002644E6">
      <w:pPr>
        <w:autoSpaceDE w:val="0"/>
        <w:autoSpaceDN w:val="0"/>
        <w:adjustRightInd w:val="0"/>
        <w:spacing w:line="360" w:lineRule="auto"/>
        <w:jc w:val="center"/>
        <w:rPr>
          <w:rFonts w:ascii="黑体" w:eastAsia="黑体" w:hAnsi="Times New Roman" w:cs="黑体"/>
          <w:sz w:val="84"/>
          <w:szCs w:val="84"/>
        </w:rPr>
      </w:pPr>
      <w:r>
        <w:rPr>
          <w:rFonts w:ascii="黑体" w:eastAsia="黑体" w:hAnsi="Times New Roman" w:cs="黑体"/>
          <w:sz w:val="84"/>
          <w:szCs w:val="84"/>
        </w:rPr>
        <w:t>第五部分</w:t>
      </w:r>
    </w:p>
    <w:p w:rsidR="00B87C8A" w:rsidRDefault="002D1C8A" w:rsidP="002644E6">
      <w:pPr>
        <w:autoSpaceDE w:val="0"/>
        <w:autoSpaceDN w:val="0"/>
        <w:adjustRightInd w:val="0"/>
        <w:spacing w:line="360" w:lineRule="auto"/>
        <w:jc w:val="center"/>
        <w:rPr>
          <w:rFonts w:hAnsi="Times New Roman"/>
          <w:sz w:val="84"/>
          <w:szCs w:val="84"/>
        </w:rPr>
      </w:pPr>
      <w:r>
        <w:rPr>
          <w:rFonts w:ascii="黑体" w:eastAsia="黑体" w:hAnsi="Times New Roman" w:cs="黑体"/>
          <w:sz w:val="84"/>
          <w:szCs w:val="84"/>
        </w:rPr>
        <w:t>附  件</w:t>
      </w:r>
    </w:p>
    <w:p w:rsidR="00B87C8A" w:rsidRDefault="00B87C8A">
      <w:pPr>
        <w:spacing w:line="360" w:lineRule="auto"/>
        <w:ind w:firstLineChars="200" w:firstLine="640"/>
        <w:rPr>
          <w:rFonts w:hAnsi="Times New Roman"/>
          <w:sz w:val="32"/>
          <w:szCs w:val="32"/>
        </w:rPr>
        <w:sectPr w:rsidR="00B87C8A">
          <w:pgSz w:w="12240" w:h="15840"/>
          <w:pgMar w:top="1440" w:right="1800" w:bottom="1440" w:left="1800" w:header="720" w:footer="720" w:gutter="0"/>
          <w:cols w:space="720"/>
        </w:sectPr>
      </w:pPr>
    </w:p>
    <w:p w:rsidR="006417C5" w:rsidRPr="0088429C" w:rsidRDefault="006417C5" w:rsidP="006417C5">
      <w:pPr>
        <w:spacing w:line="580" w:lineRule="exact"/>
        <w:jc w:val="center"/>
        <w:rPr>
          <w:rFonts w:ascii="黑体" w:eastAsia="黑体" w:hAnsi="黑体"/>
          <w:b/>
          <w:bCs/>
          <w:sz w:val="36"/>
          <w:szCs w:val="36"/>
        </w:rPr>
      </w:pPr>
      <w:r w:rsidRPr="0088429C">
        <w:rPr>
          <w:rFonts w:ascii="黑体" w:eastAsia="黑体" w:hAnsi="黑体" w:hint="eastAsia"/>
          <w:b/>
          <w:bCs/>
          <w:sz w:val="36"/>
          <w:szCs w:val="36"/>
        </w:rPr>
        <w:lastRenderedPageBreak/>
        <w:t>2022年度吉首大学整体支出</w:t>
      </w:r>
    </w:p>
    <w:p w:rsidR="006417C5" w:rsidRDefault="006417C5" w:rsidP="006417C5">
      <w:pPr>
        <w:spacing w:line="580" w:lineRule="exact"/>
        <w:jc w:val="center"/>
        <w:rPr>
          <w:rFonts w:ascii="黑体" w:eastAsia="黑体" w:hAnsi="黑体"/>
          <w:b/>
          <w:bCs/>
          <w:sz w:val="36"/>
          <w:szCs w:val="36"/>
        </w:rPr>
      </w:pPr>
      <w:r w:rsidRPr="0088429C">
        <w:rPr>
          <w:rFonts w:ascii="黑体" w:eastAsia="黑体" w:hAnsi="黑体" w:hint="eastAsia"/>
          <w:b/>
          <w:bCs/>
          <w:sz w:val="36"/>
          <w:szCs w:val="36"/>
        </w:rPr>
        <w:t>绩效自评报告</w:t>
      </w:r>
    </w:p>
    <w:p w:rsidR="0088429C" w:rsidRPr="0088429C" w:rsidRDefault="0088429C" w:rsidP="006417C5">
      <w:pPr>
        <w:spacing w:line="580" w:lineRule="exact"/>
        <w:jc w:val="center"/>
        <w:rPr>
          <w:rFonts w:ascii="黑体" w:eastAsia="黑体" w:hAnsi="黑体"/>
          <w:b/>
          <w:bCs/>
          <w:sz w:val="36"/>
          <w:szCs w:val="36"/>
        </w:rPr>
      </w:pPr>
    </w:p>
    <w:p w:rsidR="0088429C" w:rsidRPr="00373973" w:rsidRDefault="0088429C" w:rsidP="00373973">
      <w:pPr>
        <w:spacing w:line="540" w:lineRule="exact"/>
        <w:ind w:firstLineChars="200" w:firstLine="584"/>
        <w:contextualSpacing/>
        <w:rPr>
          <w:spacing w:val="6"/>
          <w:sz w:val="28"/>
          <w:szCs w:val="28"/>
        </w:rPr>
      </w:pPr>
      <w:r w:rsidRPr="00373973">
        <w:rPr>
          <w:rFonts w:hint="eastAsia"/>
          <w:spacing w:val="6"/>
          <w:sz w:val="28"/>
          <w:szCs w:val="28"/>
        </w:rPr>
        <w:t>根据《湖南省财政厅关于开展2022年度部门整体支出绩效自评和省级专项资金部门评价工作的通知》（</w:t>
      </w:r>
      <w:proofErr w:type="gramStart"/>
      <w:r w:rsidRPr="00373973">
        <w:rPr>
          <w:rFonts w:hint="eastAsia"/>
          <w:spacing w:val="6"/>
          <w:sz w:val="28"/>
          <w:szCs w:val="28"/>
        </w:rPr>
        <w:t>湘财绩〔2023〕</w:t>
      </w:r>
      <w:proofErr w:type="gramEnd"/>
      <w:r w:rsidRPr="00373973">
        <w:rPr>
          <w:rFonts w:hint="eastAsia"/>
          <w:spacing w:val="6"/>
          <w:sz w:val="28"/>
          <w:szCs w:val="28"/>
        </w:rPr>
        <w:t>1号）和湖南省教育厅《关于开展2022年度教育部门整体支出和专项资金绩效评价工作的通知》</w:t>
      </w:r>
      <w:r w:rsidRPr="00373973">
        <w:rPr>
          <w:rFonts w:hint="eastAsia"/>
          <w:sz w:val="28"/>
          <w:szCs w:val="28"/>
        </w:rPr>
        <w:t>的文件精神，我校对部门整体支出进行了绩效评价，现报告如下：</w:t>
      </w:r>
    </w:p>
    <w:p w:rsidR="0088429C" w:rsidRPr="00373973" w:rsidRDefault="0088429C" w:rsidP="00373973">
      <w:pPr>
        <w:spacing w:line="540" w:lineRule="exact"/>
        <w:ind w:firstLineChars="200" w:firstLine="640"/>
        <w:contextualSpacing/>
        <w:rPr>
          <w:rFonts w:ascii="黑体" w:eastAsia="黑体" w:hAnsi="黑体"/>
          <w:sz w:val="32"/>
          <w:szCs w:val="32"/>
        </w:rPr>
      </w:pPr>
      <w:r w:rsidRPr="00373973">
        <w:rPr>
          <w:rFonts w:ascii="黑体" w:eastAsia="黑体" w:hAnsi="黑体" w:hint="eastAsia"/>
          <w:sz w:val="32"/>
          <w:szCs w:val="32"/>
        </w:rPr>
        <w:t>一、学校基本概况</w:t>
      </w:r>
    </w:p>
    <w:p w:rsidR="0088429C" w:rsidRPr="00373973" w:rsidRDefault="0088429C" w:rsidP="00373973">
      <w:pPr>
        <w:pStyle w:val="GB2312"/>
        <w:snapToGrid w:val="0"/>
        <w:spacing w:line="540" w:lineRule="exact"/>
        <w:ind w:firstLine="560"/>
        <w:outlineLvl w:val="1"/>
        <w:rPr>
          <w:rFonts w:ascii="宋体" w:eastAsia="宋体" w:hAnsi="宋体" w:cs="Times New Roman"/>
          <w:szCs w:val="28"/>
          <w:highlight w:val="yellow"/>
        </w:rPr>
      </w:pPr>
      <w:r w:rsidRPr="00373973">
        <w:rPr>
          <w:rFonts w:ascii="宋体" w:eastAsia="宋体" w:hAnsi="宋体" w:cs="Times New Roman" w:hint="eastAsia"/>
          <w:szCs w:val="28"/>
        </w:rPr>
        <w:t>吉首大学创办于1958年9月，在湖南省湘西土家族苗族自治州和张家界市两地办学，校本部位于湘西自治州首府——吉首市，是湖南省属综合性大学，也是武陵山片区唯一的综合性大学。学校是</w:t>
      </w:r>
      <w:r w:rsidRPr="00373973">
        <w:rPr>
          <w:rFonts w:ascii="宋体" w:eastAsia="宋体" w:hAnsi="宋体" w:cs="Calibri" w:hint="eastAsia"/>
          <w:szCs w:val="28"/>
        </w:rPr>
        <w:t>国家“中西部高校基础能力建设工程”高校，“服务国家特殊需求博士人才培养项目”高校，《武陵山片区区域发展与扶贫攻坚规划》重点建设高校，教育部本科教学工作水平评估优秀学校，湖南省研究生培养过程质量评估优秀学校。学校</w:t>
      </w:r>
      <w:r w:rsidRPr="00373973">
        <w:rPr>
          <w:rFonts w:ascii="宋体" w:eastAsia="宋体" w:hAnsi="宋体" w:cs="Times New Roman" w:hint="eastAsia"/>
          <w:szCs w:val="28"/>
        </w:rPr>
        <w:t>是推荐优秀应届本科毕业生免试攻读硕士学位研究生普通高校。2016年，学校成为国家民委与湖南省人民政府共建高校。2018年获批为国家博士学位授权单位，形成了从本科到博士后完整的人才培养体系。学校总占地面积2900余亩，建筑面积近60万平方米，教学科研仪器设备总值3.7亿元，各类纸质、电子文献600余万册。</w:t>
      </w:r>
    </w:p>
    <w:p w:rsidR="0088429C" w:rsidRPr="00373973" w:rsidRDefault="0088429C" w:rsidP="00373973">
      <w:pPr>
        <w:pStyle w:val="GB2312"/>
        <w:snapToGrid w:val="0"/>
        <w:spacing w:line="540" w:lineRule="exact"/>
        <w:ind w:firstLine="560"/>
        <w:outlineLvl w:val="1"/>
        <w:rPr>
          <w:rFonts w:ascii="宋体" w:eastAsia="宋体" w:hAnsi="宋体" w:cs="Times New Roman"/>
          <w:szCs w:val="28"/>
          <w:highlight w:val="yellow"/>
        </w:rPr>
      </w:pPr>
      <w:r w:rsidRPr="00373973">
        <w:rPr>
          <w:rFonts w:ascii="宋体" w:eastAsia="宋体" w:hAnsi="宋体" w:cs="Times New Roman" w:hint="eastAsia"/>
          <w:szCs w:val="28"/>
        </w:rPr>
        <w:t>学校现有教学学院22个，一级学科41个，本科专业78个，覆盖了12大学科门类。有省重点学科5个（其中优势特色重点学科1个）、</w:t>
      </w:r>
      <w:proofErr w:type="gramStart"/>
      <w:r w:rsidRPr="00373973">
        <w:rPr>
          <w:rFonts w:ascii="宋体" w:eastAsia="宋体" w:hAnsi="宋体" w:cs="Times New Roman" w:hint="eastAsia"/>
          <w:szCs w:val="28"/>
        </w:rPr>
        <w:t>省国内</w:t>
      </w:r>
      <w:proofErr w:type="gramEnd"/>
      <w:r w:rsidRPr="00373973">
        <w:rPr>
          <w:rFonts w:ascii="宋体" w:eastAsia="宋体" w:hAnsi="宋体" w:cs="Times New Roman" w:hint="eastAsia"/>
          <w:szCs w:val="28"/>
        </w:rPr>
        <w:t>一流建设学科1个、</w:t>
      </w:r>
      <w:proofErr w:type="gramStart"/>
      <w:r w:rsidRPr="00373973">
        <w:rPr>
          <w:rFonts w:ascii="宋体" w:eastAsia="宋体" w:hAnsi="宋体" w:cs="Times New Roman" w:hint="eastAsia"/>
          <w:szCs w:val="28"/>
        </w:rPr>
        <w:t>省国内</w:t>
      </w:r>
      <w:proofErr w:type="gramEnd"/>
      <w:r w:rsidRPr="00373973">
        <w:rPr>
          <w:rFonts w:ascii="宋体" w:eastAsia="宋体" w:hAnsi="宋体" w:cs="Times New Roman" w:hint="eastAsia"/>
          <w:szCs w:val="28"/>
        </w:rPr>
        <w:t>一流培育学科1个、国家民委重点学</w:t>
      </w:r>
      <w:r w:rsidRPr="00373973">
        <w:rPr>
          <w:rFonts w:ascii="宋体" w:eastAsia="宋体" w:hAnsi="宋体" w:cs="Times New Roman" w:hint="eastAsia"/>
          <w:szCs w:val="28"/>
        </w:rPr>
        <w:lastRenderedPageBreak/>
        <w:t>科2个；有博士后科研流动站2个，“博士后科研流动站协作研发中心”1个；有一级学科博士点1个，一级学科硕士点16个，专业硕士点17个；有国家级特色专业3个，国家级本科专业综合改革试点专业1个，“卓越医生教育培养计划”专业1个，“卓越农林人才教育培养计划”专业1个；有国家级一流本科专业建设点16个、省级一流本科专业建设点36个、省级一流课程48门。有国家地方联合工程实验室、国家级实验教学示范中心、国家级工程实践教育中心等教学、科研平台共30余个。学校有博士生导师、硕士生导师共560余人。有“国务院政府特殊津贴”专家14人，“新世纪百干万人才工程”国家级人选1人，教育部“新世纪优秀人才支持计划”6人，文化名家暨“四个一批”人才工程1人、国家民委民族问题研究优秀中青年专家1人、湖南省“121人才工程”人选、享受“湖南省政府特殊津贴”专家、湖湘青年英才、湖南省芙蓉学者、湖湘高层次人才聚集工程人选、湖南省跨世纪学术带头人、湖南省“芙蓉教学名师”、湖南省优秀中青年专家等共51人。学校构建了“课程主导、环境熏陶、实践</w:t>
      </w:r>
      <w:proofErr w:type="gramStart"/>
      <w:r w:rsidRPr="00373973">
        <w:rPr>
          <w:rFonts w:ascii="宋体" w:eastAsia="宋体" w:hAnsi="宋体" w:cs="Times New Roman" w:hint="eastAsia"/>
          <w:szCs w:val="28"/>
        </w:rPr>
        <w:t>砺</w:t>
      </w:r>
      <w:proofErr w:type="gramEnd"/>
      <w:r w:rsidRPr="00373973">
        <w:rPr>
          <w:rFonts w:ascii="宋体" w:eastAsia="宋体" w:hAnsi="宋体" w:cs="Times New Roman" w:hint="eastAsia"/>
          <w:szCs w:val="28"/>
        </w:rPr>
        <w:t>炼、自我塑造”为体系的“立人教育”体系，学生动手能力强、社会实践活动多，在中国“互联网+”大学生创新创业大赛、全国“挑战杯”大学生课外学术科技作品竞赛等各类比赛、竞赛中荣获特等奖、一等奖。大学生少数民族艺术团多次赴美国、香港等地演出，影响广泛。毕业生就业率保持在90％以上。学校先后承担省部级以上科研项目900余项，获国家级、省部级科研成果奖共60余项；获得全国大学生“三下乡”活动先进单位、“西部计划项目优秀高校”、“全国民族团结进步模范集体”“全国绿化模范单位”“全国五四红旗团委”“湖南省文明单位”“湖南省平安高校”“湖南省高校毕业生就业工作先进单位”等荣誉称号。</w:t>
      </w:r>
    </w:p>
    <w:p w:rsidR="0088429C" w:rsidRPr="00373973" w:rsidRDefault="0088429C" w:rsidP="00373973">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lastRenderedPageBreak/>
        <w:t>二、一般公共预算支出情况</w:t>
      </w:r>
    </w:p>
    <w:p w:rsidR="0088429C" w:rsidRPr="00373973" w:rsidRDefault="0088429C" w:rsidP="00373973">
      <w:pPr>
        <w:tabs>
          <w:tab w:val="left" w:pos="0"/>
        </w:tabs>
        <w:spacing w:line="540" w:lineRule="exact"/>
        <w:ind w:right="560" w:firstLineChars="200" w:firstLine="562"/>
        <w:rPr>
          <w:rFonts w:cs="楷体"/>
          <w:b/>
          <w:bCs/>
          <w:sz w:val="28"/>
          <w:szCs w:val="28"/>
        </w:rPr>
      </w:pPr>
      <w:r w:rsidRPr="00373973">
        <w:rPr>
          <w:rFonts w:cs="楷体" w:hint="eastAsia"/>
          <w:b/>
          <w:bCs/>
          <w:sz w:val="28"/>
          <w:szCs w:val="28"/>
        </w:rPr>
        <w:t>（一）基本支出情况</w:t>
      </w:r>
    </w:p>
    <w:p w:rsidR="0088429C" w:rsidRPr="00373973" w:rsidRDefault="0088429C" w:rsidP="00373973">
      <w:pPr>
        <w:tabs>
          <w:tab w:val="left" w:pos="0"/>
        </w:tabs>
        <w:spacing w:line="540" w:lineRule="exact"/>
        <w:ind w:right="25" w:firstLineChars="200" w:firstLine="560"/>
        <w:rPr>
          <w:sz w:val="28"/>
          <w:szCs w:val="28"/>
        </w:rPr>
      </w:pPr>
      <w:r w:rsidRPr="00373973">
        <w:rPr>
          <w:rFonts w:hint="eastAsia"/>
          <w:sz w:val="28"/>
          <w:szCs w:val="28"/>
        </w:rPr>
        <w:t>2022年度学校一般公共预算基本支出25661.85万元，其中工资福利支出23099.89万元，</w:t>
      </w:r>
      <w:proofErr w:type="gramStart"/>
      <w:r w:rsidRPr="00373973">
        <w:rPr>
          <w:rFonts w:hint="eastAsia"/>
          <w:sz w:val="28"/>
          <w:szCs w:val="28"/>
        </w:rPr>
        <w:t>占基本</w:t>
      </w:r>
      <w:proofErr w:type="gramEnd"/>
      <w:r w:rsidRPr="00373973">
        <w:rPr>
          <w:rFonts w:hint="eastAsia"/>
          <w:sz w:val="28"/>
          <w:szCs w:val="28"/>
        </w:rPr>
        <w:t>支出的90.02%，主要包括基本工资、津贴补贴、奖金、绩效工资、社会保障费等;商品服务支出1774.11万元，</w:t>
      </w:r>
      <w:proofErr w:type="gramStart"/>
      <w:r w:rsidRPr="00373973">
        <w:rPr>
          <w:rFonts w:hint="eastAsia"/>
          <w:sz w:val="28"/>
          <w:szCs w:val="28"/>
        </w:rPr>
        <w:t>占基本</w:t>
      </w:r>
      <w:proofErr w:type="gramEnd"/>
      <w:r w:rsidRPr="00373973">
        <w:rPr>
          <w:rFonts w:hint="eastAsia"/>
          <w:sz w:val="28"/>
          <w:szCs w:val="28"/>
        </w:rPr>
        <w:t>支出的6.91%，主要包括办公费、印刷费、邮电费、物业管理费、差旅费、专用材料费、劳务费、委托业务费等；对个人和家庭的补助支出787.85万元，</w:t>
      </w:r>
      <w:proofErr w:type="gramStart"/>
      <w:r w:rsidRPr="00373973">
        <w:rPr>
          <w:rFonts w:hint="eastAsia"/>
          <w:sz w:val="28"/>
          <w:szCs w:val="28"/>
        </w:rPr>
        <w:t>占基本</w:t>
      </w:r>
      <w:proofErr w:type="gramEnd"/>
      <w:r w:rsidRPr="00373973">
        <w:rPr>
          <w:rFonts w:hint="eastAsia"/>
          <w:sz w:val="28"/>
          <w:szCs w:val="28"/>
        </w:rPr>
        <w:t>支出的3.7%，主要包括离休费、生活补助等。</w:t>
      </w:r>
    </w:p>
    <w:p w:rsidR="0088429C" w:rsidRPr="00373973" w:rsidRDefault="0088429C" w:rsidP="00373973">
      <w:pPr>
        <w:tabs>
          <w:tab w:val="left" w:pos="0"/>
        </w:tabs>
        <w:spacing w:line="540" w:lineRule="exact"/>
        <w:ind w:right="560" w:firstLineChars="200" w:firstLine="562"/>
        <w:rPr>
          <w:b/>
          <w:bCs/>
          <w:sz w:val="28"/>
          <w:szCs w:val="28"/>
        </w:rPr>
      </w:pPr>
      <w:r w:rsidRPr="00373973">
        <w:rPr>
          <w:rFonts w:cs="楷体" w:hint="eastAsia"/>
          <w:b/>
          <w:bCs/>
          <w:sz w:val="28"/>
          <w:szCs w:val="28"/>
        </w:rPr>
        <w:t>（二）项目支出情况</w:t>
      </w:r>
    </w:p>
    <w:p w:rsidR="0088429C" w:rsidRPr="00373973" w:rsidRDefault="0088429C" w:rsidP="00373973">
      <w:pPr>
        <w:tabs>
          <w:tab w:val="left" w:pos="0"/>
        </w:tabs>
        <w:spacing w:line="540" w:lineRule="exact"/>
        <w:ind w:right="25" w:firstLineChars="200" w:firstLine="560"/>
        <w:rPr>
          <w:sz w:val="28"/>
          <w:szCs w:val="28"/>
        </w:rPr>
      </w:pPr>
      <w:r w:rsidRPr="00373973">
        <w:rPr>
          <w:rFonts w:hint="eastAsia"/>
          <w:sz w:val="28"/>
          <w:szCs w:val="28"/>
        </w:rPr>
        <w:t>2022年度学校一般公共预算项目支出18796.57万元，其中商品服务支出6353.4万元；对个人和家庭的补助支出4401.57万元；资本性支出8041.6万元。</w:t>
      </w:r>
    </w:p>
    <w:p w:rsidR="0088429C" w:rsidRPr="00373973" w:rsidRDefault="0088429C" w:rsidP="00373973">
      <w:pPr>
        <w:tabs>
          <w:tab w:val="left" w:pos="0"/>
        </w:tabs>
        <w:spacing w:line="540" w:lineRule="exact"/>
        <w:ind w:right="560" w:firstLineChars="200" w:firstLine="560"/>
        <w:rPr>
          <w:rFonts w:cs="仿宋_GB2312"/>
          <w:sz w:val="28"/>
          <w:szCs w:val="28"/>
        </w:rPr>
      </w:pPr>
      <w:r w:rsidRPr="00373973">
        <w:rPr>
          <w:rFonts w:cs="仿宋_GB2312" w:hint="eastAsia"/>
          <w:sz w:val="28"/>
          <w:szCs w:val="28"/>
        </w:rPr>
        <w:t>1.2022年度省级专项资金情况</w:t>
      </w:r>
    </w:p>
    <w:p w:rsidR="0088429C" w:rsidRPr="00373973" w:rsidRDefault="0088429C" w:rsidP="00373973">
      <w:pPr>
        <w:tabs>
          <w:tab w:val="left" w:pos="0"/>
        </w:tabs>
        <w:spacing w:line="540" w:lineRule="exact"/>
        <w:ind w:right="25" w:firstLineChars="200" w:firstLine="560"/>
        <w:rPr>
          <w:color w:val="000000"/>
          <w:sz w:val="28"/>
          <w:szCs w:val="28"/>
        </w:rPr>
      </w:pPr>
      <w:r w:rsidRPr="00373973">
        <w:rPr>
          <w:rFonts w:hint="eastAsia"/>
          <w:color w:val="000000"/>
          <w:sz w:val="28"/>
          <w:szCs w:val="28"/>
        </w:rPr>
        <w:t>2022年本单位省级专项资金支出包括教育综合发展专项、高校“双一流”建设专项、基础教育发展专项。</w:t>
      </w:r>
    </w:p>
    <w:p w:rsidR="0088429C" w:rsidRPr="00373973" w:rsidRDefault="0088429C" w:rsidP="00373973">
      <w:pPr>
        <w:tabs>
          <w:tab w:val="left" w:pos="0"/>
        </w:tabs>
        <w:spacing w:line="540" w:lineRule="exact"/>
        <w:ind w:right="25" w:firstLineChars="200" w:firstLine="560"/>
        <w:rPr>
          <w:sz w:val="28"/>
          <w:szCs w:val="28"/>
          <w:highlight w:val="yellow"/>
        </w:rPr>
      </w:pPr>
      <w:r w:rsidRPr="00373973">
        <w:rPr>
          <w:rFonts w:hint="eastAsia"/>
          <w:sz w:val="28"/>
          <w:szCs w:val="28"/>
        </w:rPr>
        <w:t>（1）教育综合发展专项，年度财政拨款104.52万元，全年执行数49.9万元，预算执行率48%，经费主要用于举办湖南省第十届普通高等学校音乐、舞蹈本科专业学生独唱、独奏、独舞比赛，湖南省第六届普通高等学校青年体育教师课堂教学竞赛，教育规划课题，内地西藏班专项，高校数字教育资源建设以及湘北片区高校年会专项。由于疫情影响，</w:t>
      </w:r>
      <w:proofErr w:type="gramStart"/>
      <w:r w:rsidRPr="00373973">
        <w:rPr>
          <w:rFonts w:hint="eastAsia"/>
          <w:sz w:val="28"/>
          <w:szCs w:val="28"/>
        </w:rPr>
        <w:t>三独比赛</w:t>
      </w:r>
      <w:proofErr w:type="gramEnd"/>
      <w:r w:rsidRPr="00373973">
        <w:rPr>
          <w:rFonts w:hint="eastAsia"/>
          <w:sz w:val="28"/>
          <w:szCs w:val="28"/>
        </w:rPr>
        <w:t>、年会等项目延</w:t>
      </w:r>
      <w:r w:rsidRPr="00373973">
        <w:rPr>
          <w:rFonts w:hint="eastAsia"/>
          <w:spacing w:val="-6"/>
          <w:sz w:val="28"/>
          <w:szCs w:val="28"/>
        </w:rPr>
        <w:t>期至2023年举行，导致当年执行率偏低，2023年将全部执行完毕。</w:t>
      </w:r>
    </w:p>
    <w:p w:rsidR="0088429C" w:rsidRPr="00373973" w:rsidRDefault="0088429C" w:rsidP="00373973">
      <w:pPr>
        <w:tabs>
          <w:tab w:val="left" w:pos="0"/>
        </w:tabs>
        <w:spacing w:line="540" w:lineRule="exact"/>
        <w:ind w:right="25" w:firstLineChars="200" w:firstLine="560"/>
        <w:rPr>
          <w:sz w:val="28"/>
          <w:szCs w:val="28"/>
          <w:highlight w:val="yellow"/>
        </w:rPr>
      </w:pPr>
      <w:r w:rsidRPr="00373973">
        <w:rPr>
          <w:rFonts w:hint="eastAsia"/>
          <w:sz w:val="28"/>
          <w:szCs w:val="28"/>
        </w:rPr>
        <w:t>（2）高校“双一流”建设专项，年度财政拨款3157.1万元。为切实有效推进“双一流”建设，学校自筹资金2,892.08万元，投入总计</w:t>
      </w:r>
      <w:r w:rsidRPr="00373973">
        <w:rPr>
          <w:rFonts w:hint="eastAsia"/>
          <w:sz w:val="28"/>
          <w:szCs w:val="28"/>
        </w:rPr>
        <w:lastRenderedPageBreak/>
        <w:t>6,049.18万元用于“双一流”项目建设，在制度建设、“双一流”学科（专业群）建设、人才队伍建设、创新人才培养、科学研究和学术合作交流等六大方面取得发展和突破。</w:t>
      </w:r>
    </w:p>
    <w:p w:rsidR="0088429C" w:rsidRPr="00373973" w:rsidRDefault="0088429C" w:rsidP="00373973">
      <w:pPr>
        <w:tabs>
          <w:tab w:val="left" w:pos="0"/>
        </w:tabs>
        <w:spacing w:line="540" w:lineRule="exact"/>
        <w:ind w:right="25" w:firstLineChars="200" w:firstLine="560"/>
        <w:rPr>
          <w:sz w:val="28"/>
          <w:szCs w:val="28"/>
        </w:rPr>
      </w:pPr>
      <w:r w:rsidRPr="00373973">
        <w:rPr>
          <w:rFonts w:hint="eastAsia"/>
          <w:sz w:val="28"/>
          <w:szCs w:val="28"/>
        </w:rPr>
        <w:t>（3）</w:t>
      </w:r>
      <w:r w:rsidRPr="00373973">
        <w:rPr>
          <w:rFonts w:hint="eastAsia"/>
          <w:color w:val="000000"/>
          <w:sz w:val="28"/>
          <w:szCs w:val="28"/>
        </w:rPr>
        <w:t>基础教育发展专项</w:t>
      </w:r>
      <w:r w:rsidRPr="00373973">
        <w:rPr>
          <w:rFonts w:hint="eastAsia"/>
          <w:sz w:val="28"/>
          <w:szCs w:val="28"/>
        </w:rPr>
        <w:t>，年度财政拨款26万元，支出26万元，预算执行率100%，经费主要用于2022年学校新冠疫情防控补助，疫情防控措施切实到位。</w:t>
      </w:r>
    </w:p>
    <w:p w:rsidR="0088429C" w:rsidRPr="00373973" w:rsidRDefault="0088429C" w:rsidP="00373973">
      <w:pPr>
        <w:tabs>
          <w:tab w:val="left" w:pos="0"/>
        </w:tabs>
        <w:spacing w:line="540" w:lineRule="exact"/>
        <w:ind w:right="560" w:firstLineChars="200" w:firstLine="560"/>
        <w:rPr>
          <w:rFonts w:cs="楷体"/>
          <w:sz w:val="28"/>
          <w:szCs w:val="28"/>
        </w:rPr>
      </w:pPr>
      <w:r w:rsidRPr="00373973">
        <w:rPr>
          <w:rFonts w:cs="仿宋_GB2312" w:hint="eastAsia"/>
          <w:sz w:val="28"/>
          <w:szCs w:val="28"/>
        </w:rPr>
        <w:t>2.其他项目支出情况</w:t>
      </w:r>
    </w:p>
    <w:p w:rsidR="0088429C" w:rsidRPr="00373973" w:rsidRDefault="0088429C" w:rsidP="00373973">
      <w:pPr>
        <w:tabs>
          <w:tab w:val="left" w:pos="0"/>
        </w:tabs>
        <w:spacing w:line="540" w:lineRule="exact"/>
        <w:ind w:right="25" w:firstLineChars="200" w:firstLine="560"/>
        <w:rPr>
          <w:sz w:val="28"/>
          <w:szCs w:val="28"/>
        </w:rPr>
      </w:pPr>
      <w:r w:rsidRPr="00373973">
        <w:rPr>
          <w:sz w:val="28"/>
          <w:szCs w:val="28"/>
        </w:rPr>
        <w:t>其他项目支出按照“规范管理、专款专用、注重绩效”的原则，严格遵守各专项资金使用管理办法及相关财政规章制度有关规定，严格执行省财政厅批复的项目及预算，确保了资金使用效率及效果。</w:t>
      </w:r>
    </w:p>
    <w:p w:rsidR="0088429C" w:rsidRPr="00373973" w:rsidRDefault="0088429C" w:rsidP="00373973">
      <w:pPr>
        <w:tabs>
          <w:tab w:val="left" w:pos="0"/>
        </w:tabs>
        <w:spacing w:line="540" w:lineRule="exact"/>
        <w:ind w:right="25" w:firstLine="640"/>
        <w:rPr>
          <w:sz w:val="28"/>
          <w:szCs w:val="28"/>
        </w:rPr>
      </w:pPr>
      <w:r w:rsidRPr="00373973">
        <w:rPr>
          <w:rFonts w:hint="eastAsia"/>
          <w:sz w:val="28"/>
          <w:szCs w:val="28"/>
        </w:rPr>
        <w:t>（1）其他事业类发展资金</w:t>
      </w:r>
    </w:p>
    <w:p w:rsidR="0088429C" w:rsidRPr="00373973" w:rsidRDefault="0088429C" w:rsidP="00373973">
      <w:pPr>
        <w:tabs>
          <w:tab w:val="left" w:pos="0"/>
        </w:tabs>
        <w:spacing w:line="540" w:lineRule="exact"/>
        <w:ind w:right="25" w:firstLine="640"/>
        <w:rPr>
          <w:sz w:val="28"/>
          <w:szCs w:val="28"/>
        </w:rPr>
      </w:pPr>
      <w:r w:rsidRPr="00373973">
        <w:rPr>
          <w:rFonts w:hint="eastAsia"/>
          <w:color w:val="000000"/>
          <w:sz w:val="28"/>
          <w:szCs w:val="28"/>
        </w:rPr>
        <w:t>2022年本单位</w:t>
      </w:r>
      <w:r w:rsidRPr="00373973">
        <w:rPr>
          <w:sz w:val="28"/>
          <w:szCs w:val="28"/>
        </w:rPr>
        <w:t>其他事业类发展资金支出</w:t>
      </w:r>
      <w:r w:rsidRPr="00373973">
        <w:rPr>
          <w:rFonts w:hint="eastAsia"/>
          <w:sz w:val="28"/>
          <w:szCs w:val="28"/>
        </w:rPr>
        <w:t>15571.21万元，主要用于学校人才引进与培养、教学教改、行政后勤和基础设施能力建设等专项，人才培养质量不断提高，教学教改成绩硕果累累，办学基础条件显著改善，社会影响</w:t>
      </w:r>
      <w:proofErr w:type="gramStart"/>
      <w:r w:rsidRPr="00373973">
        <w:rPr>
          <w:rFonts w:hint="eastAsia"/>
          <w:sz w:val="28"/>
          <w:szCs w:val="28"/>
        </w:rPr>
        <w:t>力显著</w:t>
      </w:r>
      <w:proofErr w:type="gramEnd"/>
      <w:r w:rsidRPr="00373973">
        <w:rPr>
          <w:rFonts w:hint="eastAsia"/>
          <w:sz w:val="28"/>
          <w:szCs w:val="28"/>
        </w:rPr>
        <w:t>扩大。</w:t>
      </w:r>
    </w:p>
    <w:p w:rsidR="0088429C" w:rsidRPr="00373973" w:rsidRDefault="0088429C" w:rsidP="00373973">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三、政府性基金预算支出情况部门整体支出绩效情况</w:t>
      </w:r>
    </w:p>
    <w:p w:rsidR="0088429C" w:rsidRPr="00373973" w:rsidRDefault="0088429C" w:rsidP="00373973">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88429C" w:rsidRPr="00373973" w:rsidRDefault="0088429C" w:rsidP="00373973">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四、国有资本经营预算支出情况</w:t>
      </w:r>
    </w:p>
    <w:p w:rsidR="0088429C" w:rsidRPr="00373973" w:rsidRDefault="0088429C" w:rsidP="00373973">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88429C" w:rsidRPr="00373973" w:rsidRDefault="0088429C" w:rsidP="00373973">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五、社会保险基金预算支出情况</w:t>
      </w:r>
    </w:p>
    <w:p w:rsidR="0088429C" w:rsidRPr="00373973" w:rsidRDefault="0088429C" w:rsidP="00373973">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88429C" w:rsidRPr="00373973" w:rsidRDefault="0088429C" w:rsidP="00373973">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六、部门整体支出绩效情况</w:t>
      </w:r>
    </w:p>
    <w:p w:rsidR="0088429C" w:rsidRPr="00373973" w:rsidRDefault="0088429C" w:rsidP="00373973">
      <w:pPr>
        <w:autoSpaceDE w:val="0"/>
        <w:autoSpaceDN w:val="0"/>
        <w:adjustRightInd w:val="0"/>
        <w:spacing w:line="540" w:lineRule="exact"/>
        <w:ind w:firstLineChars="200" w:firstLine="560"/>
        <w:rPr>
          <w:sz w:val="28"/>
          <w:szCs w:val="28"/>
        </w:rPr>
      </w:pPr>
      <w:r w:rsidRPr="00373973">
        <w:rPr>
          <w:rFonts w:hint="eastAsia"/>
          <w:sz w:val="28"/>
          <w:szCs w:val="28"/>
        </w:rPr>
        <w:t>学校预算编制坚持“量入为出、收支平衡，综合预算、统筹资源，保证重点、兼顾一般，厉行节约、讲求绩效”的原则，编制过程采用“两</w:t>
      </w:r>
      <w:r w:rsidRPr="00373973">
        <w:rPr>
          <w:rFonts w:hint="eastAsia"/>
          <w:sz w:val="28"/>
          <w:szCs w:val="28"/>
        </w:rPr>
        <w:lastRenderedPageBreak/>
        <w:t>下两上一集中”的程序，反复多次进行调研与论证，确保预算精准、科学。支出预算坚持四结合：经费投入与学校事业发展规划和年度工作要点相结合，保重点项目投入；与资产管理相结合，资金投入充分考虑资产的存量和使用效益，促进资源共享和配置优化；与国家及上级主管部门有关经费控制规定相结合，严格贯彻《党政机关厉行节约反对浪费条例》，“三公经费”支出只减不增，严控一般性经费支出，努力降低行政运行成本；与预算执行绩效相结合，对预算执行不好的、资金效益不高的，少安排或不予安排。按照《2022年度部门整体支出绩效自评</w:t>
      </w:r>
      <w:r w:rsidRPr="00373973">
        <w:rPr>
          <w:rFonts w:hint="eastAsia"/>
          <w:spacing w:val="-6"/>
          <w:sz w:val="28"/>
          <w:szCs w:val="28"/>
        </w:rPr>
        <w:t>表》评分标准，综合自评得分98.5分。主要工作成效如下</w:t>
      </w:r>
      <w:r w:rsidRPr="00373973">
        <w:rPr>
          <w:rFonts w:hint="eastAsia"/>
          <w:sz w:val="28"/>
          <w:szCs w:val="28"/>
        </w:rPr>
        <w:t>：</w:t>
      </w:r>
    </w:p>
    <w:p w:rsidR="0088429C" w:rsidRPr="00373973" w:rsidRDefault="0088429C" w:rsidP="00373973">
      <w:pPr>
        <w:autoSpaceDE w:val="0"/>
        <w:autoSpaceDN w:val="0"/>
        <w:adjustRightInd w:val="0"/>
        <w:spacing w:line="540" w:lineRule="exact"/>
        <w:ind w:firstLineChars="200" w:firstLine="562"/>
        <w:rPr>
          <w:sz w:val="28"/>
          <w:szCs w:val="28"/>
          <w:highlight w:val="yellow"/>
        </w:rPr>
      </w:pPr>
      <w:r w:rsidRPr="00373973">
        <w:rPr>
          <w:rFonts w:cs="楷体" w:hint="eastAsia"/>
          <w:b/>
          <w:sz w:val="28"/>
          <w:szCs w:val="28"/>
        </w:rPr>
        <w:t>（一）坚持党的领导，党建</w:t>
      </w:r>
      <w:proofErr w:type="gramStart"/>
      <w:r w:rsidRPr="00373973">
        <w:rPr>
          <w:rFonts w:cs="楷体" w:hint="eastAsia"/>
          <w:b/>
          <w:sz w:val="28"/>
          <w:szCs w:val="28"/>
        </w:rPr>
        <w:t>引领力显著</w:t>
      </w:r>
      <w:proofErr w:type="gramEnd"/>
      <w:r w:rsidRPr="00373973">
        <w:rPr>
          <w:rFonts w:cs="楷体" w:hint="eastAsia"/>
          <w:b/>
          <w:sz w:val="28"/>
          <w:szCs w:val="28"/>
        </w:rPr>
        <w:t>增强</w:t>
      </w:r>
    </w:p>
    <w:p w:rsidR="0088429C" w:rsidRPr="00373973" w:rsidRDefault="0088429C" w:rsidP="00373973">
      <w:pPr>
        <w:adjustRightInd w:val="0"/>
        <w:snapToGrid w:val="0"/>
        <w:spacing w:line="540" w:lineRule="exact"/>
        <w:ind w:firstLineChars="200" w:firstLine="560"/>
        <w:rPr>
          <w:sz w:val="28"/>
          <w:szCs w:val="28"/>
          <w:highlight w:val="yellow"/>
        </w:rPr>
      </w:pPr>
      <w:r w:rsidRPr="00373973">
        <w:rPr>
          <w:rFonts w:hint="eastAsia"/>
          <w:sz w:val="28"/>
          <w:szCs w:val="28"/>
        </w:rPr>
        <w:t>1.加强思想政治建设。组织师生深入学习贯彻习近平新时代中国特色社会主义思想，特别是习近平总书记关于教育的重要论述。坚持把学习宣传落实党的二十大精神作为首要政治任务，制定了认真学习宣传贯彻党的二十大精神工作方案，出台了《吉首大学关于组织开展党的二十大精神宣讲的通知》，采用宣讲团报告会、校院两级党委理论学习中心组集中学习研讨等多种形式开展学习宣讲，利用学校官网、官微、校报等平台开设专栏专版，刊发师生的学习理论文章和心得体会，教育引导广大师生深刻领悟“两个确立”的决定性意义，增强“四个意识”、坚定“四个自信”、做到“两个维护”，不断增强政治领悟力、政治判断力、政治执行力。</w:t>
      </w:r>
    </w:p>
    <w:p w:rsidR="0088429C" w:rsidRPr="00373973" w:rsidRDefault="0088429C" w:rsidP="00373973">
      <w:pPr>
        <w:spacing w:line="540" w:lineRule="exact"/>
        <w:ind w:firstLine="640"/>
        <w:rPr>
          <w:sz w:val="28"/>
          <w:szCs w:val="28"/>
          <w:highlight w:val="yellow"/>
        </w:rPr>
      </w:pPr>
      <w:r w:rsidRPr="00373973">
        <w:rPr>
          <w:rFonts w:hint="eastAsia"/>
          <w:bCs/>
          <w:sz w:val="28"/>
          <w:szCs w:val="28"/>
        </w:rPr>
        <w:t>2.加强基层组织建设。</w:t>
      </w:r>
      <w:r w:rsidRPr="00373973">
        <w:rPr>
          <w:rFonts w:hint="eastAsia"/>
          <w:sz w:val="28"/>
          <w:szCs w:val="28"/>
        </w:rPr>
        <w:t>加强制度建设，制定完善了《吉首大学学院党组织会议议事规则》等10多项制度。加强干部队伍建设，特别是年轻干部培养，举办了新任处级干部培训班，出台了《吉首大学干部队伍建设规划》，全年提拔处级干部31人，其中年轻干部11人。加强了基</w:t>
      </w:r>
      <w:r w:rsidRPr="00373973">
        <w:rPr>
          <w:rFonts w:hint="eastAsia"/>
          <w:sz w:val="28"/>
          <w:szCs w:val="28"/>
        </w:rPr>
        <w:lastRenderedPageBreak/>
        <w:t>层党建制度化规范化和干部队伍年轻化建设，基层党组织组织力和政治功能进一步增强。</w:t>
      </w:r>
    </w:p>
    <w:p w:rsidR="0088429C" w:rsidRPr="00373973" w:rsidRDefault="0088429C" w:rsidP="00373973">
      <w:pPr>
        <w:spacing w:line="540" w:lineRule="exact"/>
        <w:ind w:firstLine="640"/>
        <w:rPr>
          <w:sz w:val="28"/>
          <w:szCs w:val="28"/>
          <w:highlight w:val="yellow"/>
        </w:rPr>
      </w:pPr>
      <w:r w:rsidRPr="00373973">
        <w:rPr>
          <w:bCs/>
          <w:sz w:val="28"/>
          <w:szCs w:val="28"/>
        </w:rPr>
        <w:t>3.</w:t>
      </w:r>
      <w:r w:rsidRPr="00373973">
        <w:rPr>
          <w:rFonts w:hint="eastAsia"/>
          <w:bCs/>
          <w:sz w:val="28"/>
          <w:szCs w:val="28"/>
        </w:rPr>
        <w:t>加强作风纪律建设。</w:t>
      </w:r>
      <w:r w:rsidRPr="00373973">
        <w:rPr>
          <w:rFonts w:hint="eastAsia"/>
          <w:sz w:val="28"/>
          <w:szCs w:val="28"/>
        </w:rPr>
        <w:t>坚持正风</w:t>
      </w:r>
      <w:proofErr w:type="gramStart"/>
      <w:r w:rsidRPr="00373973">
        <w:rPr>
          <w:rFonts w:hint="eastAsia"/>
          <w:sz w:val="28"/>
          <w:szCs w:val="28"/>
        </w:rPr>
        <w:t>肃</w:t>
      </w:r>
      <w:proofErr w:type="gramEnd"/>
      <w:r w:rsidRPr="00373973">
        <w:rPr>
          <w:rFonts w:hint="eastAsia"/>
          <w:sz w:val="28"/>
          <w:szCs w:val="28"/>
        </w:rPr>
        <w:t>纪，锲而不舍落实中央八项规定及其实施细则精神。筑牢思想防线，</w:t>
      </w:r>
      <w:proofErr w:type="gramStart"/>
      <w:r w:rsidRPr="00373973">
        <w:rPr>
          <w:rFonts w:hint="eastAsia"/>
          <w:sz w:val="28"/>
          <w:szCs w:val="28"/>
        </w:rPr>
        <w:t>织细扎牢</w:t>
      </w:r>
      <w:proofErr w:type="gramEnd"/>
      <w:r w:rsidRPr="00373973">
        <w:rPr>
          <w:rFonts w:hint="eastAsia"/>
          <w:sz w:val="28"/>
          <w:szCs w:val="28"/>
        </w:rPr>
        <w:t>制度笼子，出台了《吉首大学关于持续防治形式主义官僚主义的十项具体措施》《吉首大学关于加强新时代廉洁文化建设的若干措施》。坚持抓早抓小抓实，强化监督执纪问责，“清廉吉大”建设取得新进展。一年来，广大干部提高政治站位、勇毅担当作为，推动巡视整改取得显著成效，有力推动了事业发展。省委巡视整改抽查评估工作组现场评估后认定，截至2022年10月底，巡视反馈的39个具体问题，已完成整改36个，整改完成率达92.3%，巡视移交的9个</w:t>
      </w:r>
      <w:proofErr w:type="gramStart"/>
      <w:r w:rsidRPr="00373973">
        <w:rPr>
          <w:rFonts w:hint="eastAsia"/>
          <w:sz w:val="28"/>
          <w:szCs w:val="28"/>
        </w:rPr>
        <w:t>立行立改问题</w:t>
      </w:r>
      <w:proofErr w:type="gramEnd"/>
      <w:r w:rsidRPr="00373973">
        <w:rPr>
          <w:rFonts w:hint="eastAsia"/>
          <w:sz w:val="28"/>
          <w:szCs w:val="28"/>
        </w:rPr>
        <w:t>、44件信访件，已全部完成办理，整改成效被省委</w:t>
      </w:r>
      <w:proofErr w:type="gramStart"/>
      <w:r w:rsidRPr="00373973">
        <w:rPr>
          <w:rFonts w:hint="eastAsia"/>
          <w:sz w:val="28"/>
          <w:szCs w:val="28"/>
        </w:rPr>
        <w:t>巡视办评定</w:t>
      </w:r>
      <w:proofErr w:type="gramEnd"/>
      <w:r w:rsidRPr="00373973">
        <w:rPr>
          <w:rFonts w:hint="eastAsia"/>
          <w:sz w:val="28"/>
          <w:szCs w:val="28"/>
        </w:rPr>
        <w:t>为“好”。学校巡视整改“五个转化”的经验做法得到省纪委高度肯定，并在《三湘风纪》进行了推介。</w:t>
      </w:r>
    </w:p>
    <w:p w:rsidR="0088429C" w:rsidRPr="00373973" w:rsidRDefault="0088429C" w:rsidP="00373973">
      <w:pPr>
        <w:spacing w:line="540" w:lineRule="exact"/>
        <w:ind w:firstLine="640"/>
        <w:rPr>
          <w:sz w:val="28"/>
          <w:szCs w:val="28"/>
        </w:rPr>
      </w:pPr>
      <w:r w:rsidRPr="00373973">
        <w:rPr>
          <w:rFonts w:hint="eastAsia"/>
          <w:sz w:val="28"/>
          <w:szCs w:val="28"/>
        </w:rPr>
        <w:t>4.不断巩固统战、群团工作。加强党外人士培养，提拔党外处级干部</w:t>
      </w:r>
      <w:r w:rsidRPr="00373973">
        <w:rPr>
          <w:sz w:val="28"/>
          <w:szCs w:val="28"/>
        </w:rPr>
        <w:t>3</w:t>
      </w:r>
      <w:r w:rsidRPr="00373973">
        <w:rPr>
          <w:rFonts w:hint="eastAsia"/>
          <w:sz w:val="28"/>
          <w:szCs w:val="28"/>
        </w:rPr>
        <w:t>人，推荐党外后备干部4人，省政协委员提名人选4人，推荐1名党外人士担任湘西州侨联青年委员会副会长，民</w:t>
      </w:r>
      <w:proofErr w:type="gramStart"/>
      <w:r w:rsidRPr="00373973">
        <w:rPr>
          <w:rFonts w:hint="eastAsia"/>
          <w:sz w:val="28"/>
          <w:szCs w:val="28"/>
        </w:rPr>
        <w:t>宗工作校</w:t>
      </w:r>
      <w:proofErr w:type="gramEnd"/>
      <w:r w:rsidRPr="00373973">
        <w:rPr>
          <w:rFonts w:hint="eastAsia"/>
          <w:sz w:val="28"/>
          <w:szCs w:val="28"/>
        </w:rPr>
        <w:t>地联动经验做法在全州工作会议上推介。加强共青团和学生会工作，深化“五育人工程”，学校获全国“三下乡”先进单位，获第六届中国青年志愿服务项目大赛铜奖1项，省第五届“雷锋杯”青年志愿服务项目大赛银奖1项。加强工会工作，评选表彰“十佳青年教工”“十佳师德先进个人”“芙蓉百岗明星”20余人次，1人受到省教育系统表彰。关心关爱教职员工，全年发放教职工福利慰问物资近3</w:t>
      </w:r>
      <w:r w:rsidRPr="00373973">
        <w:rPr>
          <w:sz w:val="28"/>
          <w:szCs w:val="28"/>
        </w:rPr>
        <w:t>60</w:t>
      </w:r>
      <w:r w:rsidRPr="00373973">
        <w:rPr>
          <w:rFonts w:hint="eastAsia"/>
          <w:sz w:val="28"/>
          <w:szCs w:val="28"/>
        </w:rPr>
        <w:t>万元。用心用</w:t>
      </w:r>
      <w:proofErr w:type="gramStart"/>
      <w:r w:rsidRPr="00373973">
        <w:rPr>
          <w:rFonts w:hint="eastAsia"/>
          <w:sz w:val="28"/>
          <w:szCs w:val="28"/>
        </w:rPr>
        <w:t>情做好</w:t>
      </w:r>
      <w:proofErr w:type="gramEnd"/>
      <w:r w:rsidRPr="00373973">
        <w:rPr>
          <w:rFonts w:hint="eastAsia"/>
          <w:sz w:val="28"/>
          <w:szCs w:val="28"/>
        </w:rPr>
        <w:t>离退休工作，</w:t>
      </w:r>
      <w:proofErr w:type="gramStart"/>
      <w:r w:rsidRPr="00373973">
        <w:rPr>
          <w:rFonts w:hint="eastAsia"/>
          <w:sz w:val="28"/>
          <w:szCs w:val="28"/>
        </w:rPr>
        <w:t>校关工委</w:t>
      </w:r>
      <w:proofErr w:type="gramEnd"/>
      <w:r w:rsidRPr="00373973">
        <w:rPr>
          <w:rFonts w:hint="eastAsia"/>
          <w:sz w:val="28"/>
          <w:szCs w:val="28"/>
        </w:rPr>
        <w:t>和3个</w:t>
      </w:r>
      <w:proofErr w:type="gramStart"/>
      <w:r w:rsidRPr="00373973">
        <w:rPr>
          <w:rFonts w:hint="eastAsia"/>
          <w:sz w:val="28"/>
          <w:szCs w:val="28"/>
        </w:rPr>
        <w:t>学院关</w:t>
      </w:r>
      <w:proofErr w:type="gramEnd"/>
      <w:r w:rsidRPr="00373973">
        <w:rPr>
          <w:rFonts w:hint="eastAsia"/>
          <w:sz w:val="28"/>
          <w:szCs w:val="28"/>
        </w:rPr>
        <w:t>工委及7名“五老”同志受到省教育</w:t>
      </w:r>
      <w:proofErr w:type="gramStart"/>
      <w:r w:rsidRPr="00373973">
        <w:rPr>
          <w:rFonts w:hint="eastAsia"/>
          <w:sz w:val="28"/>
          <w:szCs w:val="28"/>
        </w:rPr>
        <w:t>系统关</w:t>
      </w:r>
      <w:proofErr w:type="gramEnd"/>
      <w:r w:rsidRPr="00373973">
        <w:rPr>
          <w:rFonts w:hint="eastAsia"/>
          <w:sz w:val="28"/>
          <w:szCs w:val="28"/>
        </w:rPr>
        <w:t>工委</w:t>
      </w:r>
      <w:r w:rsidRPr="00373973">
        <w:rPr>
          <w:rFonts w:hint="eastAsia"/>
          <w:sz w:val="28"/>
          <w:szCs w:val="28"/>
        </w:rPr>
        <w:lastRenderedPageBreak/>
        <w:t>表彰。发放老同志福利费近1</w:t>
      </w:r>
      <w:r w:rsidRPr="00373973">
        <w:rPr>
          <w:sz w:val="28"/>
          <w:szCs w:val="28"/>
        </w:rPr>
        <w:t>60</w:t>
      </w:r>
      <w:r w:rsidRPr="00373973">
        <w:rPr>
          <w:rFonts w:hint="eastAsia"/>
          <w:sz w:val="28"/>
          <w:szCs w:val="28"/>
        </w:rPr>
        <w:t>万元，为患病教职工、困难老同志发放补助和帮扶资金</w:t>
      </w:r>
      <w:r w:rsidRPr="00373973">
        <w:rPr>
          <w:sz w:val="28"/>
          <w:szCs w:val="28"/>
        </w:rPr>
        <w:t>43</w:t>
      </w:r>
      <w:r w:rsidRPr="00373973">
        <w:rPr>
          <w:rFonts w:hint="eastAsia"/>
          <w:sz w:val="28"/>
          <w:szCs w:val="28"/>
        </w:rPr>
        <w:t>万元。</w:t>
      </w:r>
    </w:p>
    <w:p w:rsidR="0088429C" w:rsidRPr="00373973" w:rsidRDefault="0088429C" w:rsidP="00373973">
      <w:pPr>
        <w:autoSpaceDE w:val="0"/>
        <w:autoSpaceDN w:val="0"/>
        <w:adjustRightInd w:val="0"/>
        <w:spacing w:line="540" w:lineRule="exact"/>
        <w:ind w:firstLineChars="200" w:firstLine="562"/>
        <w:rPr>
          <w:rFonts w:cs="楷体"/>
          <w:b/>
          <w:sz w:val="28"/>
          <w:szCs w:val="28"/>
          <w:highlight w:val="yellow"/>
        </w:rPr>
      </w:pPr>
      <w:r w:rsidRPr="00373973">
        <w:rPr>
          <w:rFonts w:cs="楷体" w:hint="eastAsia"/>
          <w:b/>
          <w:sz w:val="28"/>
          <w:szCs w:val="28"/>
        </w:rPr>
        <w:t>（二）坚持推进现代治理，三大改革成效突出</w:t>
      </w:r>
    </w:p>
    <w:p w:rsidR="0088429C" w:rsidRPr="00373973" w:rsidRDefault="0088429C" w:rsidP="00373973">
      <w:pPr>
        <w:autoSpaceDE w:val="0"/>
        <w:autoSpaceDN w:val="0"/>
        <w:adjustRightInd w:val="0"/>
        <w:spacing w:line="540" w:lineRule="exact"/>
        <w:ind w:firstLineChars="200" w:firstLine="560"/>
        <w:rPr>
          <w:sz w:val="28"/>
          <w:szCs w:val="28"/>
          <w:highlight w:val="yellow"/>
        </w:rPr>
      </w:pPr>
      <w:r w:rsidRPr="00373973">
        <w:rPr>
          <w:rFonts w:hint="eastAsia"/>
          <w:sz w:val="28"/>
          <w:szCs w:val="28"/>
        </w:rPr>
        <w:t>1.机构编制改革成为全省典型。出台了《吉首大学二级机构及其内设机构设置方案》，完成了机关教辅机构“三定”、机构撤并和管理交接工作。着力破解基础条件薄弱、编制紧缺、人员结构不优、发展动力不足等困难和矛盾，结合落实巡视整改任务，对标省委编办推进新一轮机构编制体制机制改革要求，在全省高校率先圆满完成新一轮机构编制改革，受到省委编办表扬。</w:t>
      </w:r>
    </w:p>
    <w:p w:rsidR="0088429C" w:rsidRPr="00373973" w:rsidRDefault="0088429C" w:rsidP="00373973">
      <w:pPr>
        <w:autoSpaceDE w:val="0"/>
        <w:autoSpaceDN w:val="0"/>
        <w:adjustRightInd w:val="0"/>
        <w:spacing w:line="540" w:lineRule="exact"/>
        <w:ind w:firstLineChars="200" w:firstLine="560"/>
        <w:rPr>
          <w:sz w:val="28"/>
          <w:szCs w:val="28"/>
        </w:rPr>
      </w:pPr>
      <w:r w:rsidRPr="00373973">
        <w:rPr>
          <w:rFonts w:hint="eastAsia"/>
          <w:bCs/>
          <w:sz w:val="28"/>
          <w:szCs w:val="28"/>
        </w:rPr>
        <w:t>2.绩效分配体制改革得到广泛认可。</w:t>
      </w:r>
      <w:r w:rsidRPr="00373973">
        <w:rPr>
          <w:rFonts w:hint="eastAsia"/>
          <w:sz w:val="28"/>
          <w:szCs w:val="28"/>
        </w:rPr>
        <w:t>以做增量、调结构、促发展为原则，改革学校绩效分配体制。新出台的绩效分配方案既兼顾公平又鼓励优</w:t>
      </w:r>
      <w:proofErr w:type="gramStart"/>
      <w:r w:rsidRPr="00373973">
        <w:rPr>
          <w:rFonts w:hint="eastAsia"/>
          <w:sz w:val="28"/>
          <w:szCs w:val="28"/>
        </w:rPr>
        <w:t>劳</w:t>
      </w:r>
      <w:proofErr w:type="gramEnd"/>
      <w:r w:rsidRPr="00373973">
        <w:rPr>
          <w:rFonts w:hint="eastAsia"/>
          <w:sz w:val="28"/>
          <w:szCs w:val="28"/>
        </w:rPr>
        <w:t>优酬，适度缩小了教职工与周边高校同类人员收入差距，增强了包括人事代理、离退休人员在内的全校教职工的获得感。</w:t>
      </w:r>
    </w:p>
    <w:p w:rsidR="0088429C" w:rsidRPr="00373973" w:rsidRDefault="0088429C" w:rsidP="00373973">
      <w:pPr>
        <w:autoSpaceDE w:val="0"/>
        <w:autoSpaceDN w:val="0"/>
        <w:adjustRightInd w:val="0"/>
        <w:spacing w:line="540" w:lineRule="exact"/>
        <w:ind w:firstLineChars="200" w:firstLine="560"/>
        <w:rPr>
          <w:sz w:val="28"/>
          <w:szCs w:val="28"/>
        </w:rPr>
      </w:pPr>
      <w:r w:rsidRPr="00373973">
        <w:rPr>
          <w:rFonts w:hint="eastAsia"/>
          <w:bCs/>
          <w:sz w:val="28"/>
          <w:szCs w:val="28"/>
        </w:rPr>
        <w:t>3.教育教学改革取得阶段成果。</w:t>
      </w:r>
      <w:r w:rsidRPr="00373973">
        <w:rPr>
          <w:rFonts w:hint="eastAsia"/>
          <w:sz w:val="28"/>
          <w:szCs w:val="28"/>
        </w:rPr>
        <w:t>落实新时代教育评价改革精神，出台了修订本科人才和研究生培育方案的指导性意见，完成了各专业人才培养方案和课程“三纲”的修订，为教育教学工作搭建了新的“四梁八柱”，教育评价改革做法被《湖南教育快讯》专文推介。</w:t>
      </w:r>
    </w:p>
    <w:p w:rsidR="0088429C" w:rsidRPr="00373973" w:rsidRDefault="0088429C" w:rsidP="00373973">
      <w:pPr>
        <w:adjustRightInd w:val="0"/>
        <w:snapToGrid w:val="0"/>
        <w:spacing w:line="540" w:lineRule="exact"/>
        <w:ind w:leftChars="200" w:left="480"/>
        <w:rPr>
          <w:rFonts w:cs="楷体"/>
          <w:b/>
          <w:spacing w:val="-6"/>
          <w:sz w:val="28"/>
          <w:szCs w:val="28"/>
        </w:rPr>
      </w:pPr>
      <w:r w:rsidRPr="00373973">
        <w:rPr>
          <w:rFonts w:cs="楷体" w:hint="eastAsia"/>
          <w:b/>
          <w:spacing w:val="-6"/>
          <w:sz w:val="28"/>
          <w:szCs w:val="28"/>
        </w:rPr>
        <w:t xml:space="preserve">（三）坚持落实立德树人根本任务，人才培养质量不断提高   </w:t>
      </w:r>
    </w:p>
    <w:p w:rsidR="0088429C" w:rsidRPr="00373973" w:rsidRDefault="0088429C" w:rsidP="00373973">
      <w:pPr>
        <w:adjustRightInd w:val="0"/>
        <w:snapToGrid w:val="0"/>
        <w:spacing w:line="540" w:lineRule="exact"/>
        <w:ind w:firstLineChars="200" w:firstLine="560"/>
        <w:rPr>
          <w:sz w:val="28"/>
          <w:szCs w:val="28"/>
        </w:rPr>
      </w:pPr>
      <w:r w:rsidRPr="00373973">
        <w:rPr>
          <w:rFonts w:hint="eastAsia"/>
          <w:bCs/>
          <w:sz w:val="28"/>
          <w:szCs w:val="28"/>
        </w:rPr>
        <w:t>1.教师教育教学成果丰硕。</w:t>
      </w:r>
      <w:r w:rsidRPr="00373973">
        <w:rPr>
          <w:rFonts w:hint="eastAsia"/>
          <w:sz w:val="28"/>
          <w:szCs w:val="28"/>
        </w:rPr>
        <w:t>获湖南省本科教学成果奖一等奖1项，二等奖4项，三等奖8项；获湖南省研究生教学成果一等奖1项、三等奖1项、优秀案例3个。研究生学位论文质量显著提高，获评省级优秀博士硕士论文15篇。获得国家级大学生创新创业训练计划项目33项，省级大学生研究性创新性实验计划项目96项。2022届本科生考研率14.55%，高出2021届0.44个百分点。</w:t>
      </w:r>
    </w:p>
    <w:p w:rsidR="0088429C" w:rsidRPr="00373973" w:rsidRDefault="0088429C" w:rsidP="00373973">
      <w:pPr>
        <w:adjustRightInd w:val="0"/>
        <w:snapToGrid w:val="0"/>
        <w:spacing w:line="540" w:lineRule="exact"/>
        <w:ind w:firstLineChars="200" w:firstLine="560"/>
        <w:rPr>
          <w:sz w:val="28"/>
          <w:szCs w:val="28"/>
        </w:rPr>
      </w:pPr>
      <w:r w:rsidRPr="00373973">
        <w:rPr>
          <w:rFonts w:hint="eastAsia"/>
          <w:bCs/>
          <w:sz w:val="28"/>
          <w:szCs w:val="28"/>
        </w:rPr>
        <w:lastRenderedPageBreak/>
        <w:t>2.学生竞赛成绩突出。</w:t>
      </w:r>
      <w:r w:rsidRPr="00373973">
        <w:rPr>
          <w:rFonts w:hint="eastAsia"/>
          <w:sz w:val="28"/>
          <w:szCs w:val="28"/>
        </w:rPr>
        <w:t>本科生参加A类、B类学科竞赛，获国家级一等奖8项、二等奖36项、三等奖53项，获省级特等奖6项、一等奖138项、二等奖241项、三等奖316项；获湖南省“互联网+”大学生创新创业大赛一等奖1项、二等奖1项、三等奖3项；获湖南省“挑战杯”大学生创业计划竞赛金奖等9项，1项作品入围全国主赛道终审决赛，学校获评湖南省“优秀组织奖”。研究生参加学科竞赛，获省级以上奖励67项。</w:t>
      </w:r>
    </w:p>
    <w:p w:rsidR="0088429C" w:rsidRPr="00373973" w:rsidRDefault="0088429C" w:rsidP="00373973">
      <w:pPr>
        <w:adjustRightInd w:val="0"/>
        <w:snapToGrid w:val="0"/>
        <w:spacing w:line="540" w:lineRule="exact"/>
        <w:ind w:firstLine="640"/>
        <w:rPr>
          <w:sz w:val="28"/>
          <w:szCs w:val="28"/>
        </w:rPr>
      </w:pPr>
      <w:r w:rsidRPr="00373973">
        <w:rPr>
          <w:rFonts w:hint="eastAsia"/>
          <w:bCs/>
          <w:sz w:val="28"/>
          <w:szCs w:val="28"/>
        </w:rPr>
        <w:t>3.全校上下促</w:t>
      </w:r>
      <w:proofErr w:type="gramStart"/>
      <w:r w:rsidRPr="00373973">
        <w:rPr>
          <w:rFonts w:hint="eastAsia"/>
          <w:bCs/>
          <w:sz w:val="28"/>
          <w:szCs w:val="28"/>
        </w:rPr>
        <w:t>就业成效</w:t>
      </w:r>
      <w:proofErr w:type="gramEnd"/>
      <w:r w:rsidRPr="00373973">
        <w:rPr>
          <w:rFonts w:hint="eastAsia"/>
          <w:bCs/>
          <w:sz w:val="28"/>
          <w:szCs w:val="28"/>
        </w:rPr>
        <w:t>明显。</w:t>
      </w:r>
      <w:r w:rsidRPr="00373973">
        <w:rPr>
          <w:rFonts w:hint="eastAsia"/>
          <w:sz w:val="28"/>
          <w:szCs w:val="28"/>
        </w:rPr>
        <w:t>组织开展“书记校长访企拓岗促就业专项活动”，走访企事业单位107家，签约实习实践基地52家，拓展了毕业生就业市场，学校获批“湖南省普通高等学校毕业生就业区域性行业性常设市场”。2022届研究生就业率达93.25%，本科毕业生年终毕业去向落实率92.2%。</w:t>
      </w:r>
    </w:p>
    <w:p w:rsidR="0088429C" w:rsidRPr="00373973" w:rsidRDefault="0088429C" w:rsidP="00373973">
      <w:pPr>
        <w:adjustRightInd w:val="0"/>
        <w:snapToGrid w:val="0"/>
        <w:spacing w:line="540" w:lineRule="exact"/>
        <w:ind w:firstLine="640"/>
        <w:rPr>
          <w:sz w:val="28"/>
          <w:szCs w:val="28"/>
        </w:rPr>
      </w:pPr>
      <w:r w:rsidRPr="00373973">
        <w:rPr>
          <w:rFonts w:hint="eastAsia"/>
          <w:bCs/>
          <w:sz w:val="28"/>
          <w:szCs w:val="28"/>
        </w:rPr>
        <w:t>4.继续教育预科教育不断加强。</w:t>
      </w:r>
      <w:r w:rsidRPr="00373973">
        <w:rPr>
          <w:rFonts w:hint="eastAsia"/>
          <w:sz w:val="28"/>
          <w:szCs w:val="28"/>
        </w:rPr>
        <w:t>继续学历教育录取注册新生14562人，比上年增加4926人。强化规范办学，加强了线上教学和站点监督。预科教育以“课本剧编演大赛”等品牌活动为载体，加强课程思政，促进了各民族交流交往交融。</w:t>
      </w:r>
    </w:p>
    <w:p w:rsidR="0088429C" w:rsidRPr="00373973" w:rsidRDefault="0088429C" w:rsidP="00373973">
      <w:pPr>
        <w:spacing w:line="540" w:lineRule="exact"/>
        <w:ind w:firstLineChars="200" w:firstLine="562"/>
        <w:rPr>
          <w:rFonts w:cs="楷体"/>
          <w:b/>
          <w:sz w:val="28"/>
          <w:szCs w:val="28"/>
        </w:rPr>
      </w:pPr>
      <w:r w:rsidRPr="00373973">
        <w:rPr>
          <w:rFonts w:cs="楷体" w:hint="eastAsia"/>
          <w:b/>
          <w:sz w:val="28"/>
          <w:szCs w:val="28"/>
        </w:rPr>
        <w:t>（四）坚持加强内涵建设，“双一流”建设取得新成绩</w:t>
      </w:r>
    </w:p>
    <w:p w:rsidR="0088429C" w:rsidRPr="00373973" w:rsidRDefault="0088429C" w:rsidP="00373973">
      <w:pPr>
        <w:adjustRightInd w:val="0"/>
        <w:snapToGrid w:val="0"/>
        <w:spacing w:line="540" w:lineRule="exact"/>
        <w:ind w:firstLineChars="200" w:firstLine="560"/>
        <w:rPr>
          <w:sz w:val="28"/>
          <w:szCs w:val="28"/>
        </w:rPr>
      </w:pPr>
      <w:r w:rsidRPr="00373973">
        <w:rPr>
          <w:rFonts w:hint="eastAsia"/>
          <w:bCs/>
          <w:sz w:val="28"/>
          <w:szCs w:val="28"/>
        </w:rPr>
        <w:t>1.学科建设获得重大突破。</w:t>
      </w:r>
      <w:r w:rsidRPr="00373973">
        <w:rPr>
          <w:rFonts w:hint="eastAsia"/>
          <w:sz w:val="28"/>
          <w:szCs w:val="28"/>
        </w:rPr>
        <w:t>化学学科逼近全球ESI前1%，体育学、民族学继续列为省重点建设学科。在第五轮学科评估和专业学位评估中，学校2个学科和1个专业学位</w:t>
      </w:r>
      <w:proofErr w:type="gramStart"/>
      <w:r w:rsidRPr="00373973">
        <w:rPr>
          <w:rFonts w:hint="eastAsia"/>
          <w:sz w:val="28"/>
          <w:szCs w:val="28"/>
        </w:rPr>
        <w:t>点首次</w:t>
      </w:r>
      <w:proofErr w:type="gramEnd"/>
      <w:r w:rsidRPr="00373973">
        <w:rPr>
          <w:rFonts w:hint="eastAsia"/>
          <w:sz w:val="28"/>
          <w:szCs w:val="28"/>
        </w:rPr>
        <w:t>进入B-等级，实现B类学科零的突破，C类学科也较上一轮有所增加。研究生教育取得重要进展，1人当选为文史组学科评议组和</w:t>
      </w:r>
      <w:proofErr w:type="gramStart"/>
      <w:r w:rsidRPr="00373973">
        <w:rPr>
          <w:rFonts w:hint="eastAsia"/>
          <w:sz w:val="28"/>
          <w:szCs w:val="28"/>
        </w:rPr>
        <w:t>专业教指委</w:t>
      </w:r>
      <w:proofErr w:type="gramEnd"/>
      <w:r w:rsidRPr="00373973">
        <w:rPr>
          <w:rFonts w:hint="eastAsia"/>
          <w:sz w:val="28"/>
          <w:szCs w:val="28"/>
        </w:rPr>
        <w:t>召集人，8人当选为学科评议组成员，首次有教材被评为省级优秀研究生教材。新增计算机科学与技术一级学科硕士点。</w:t>
      </w:r>
    </w:p>
    <w:p w:rsidR="0088429C" w:rsidRPr="00373973" w:rsidRDefault="0088429C" w:rsidP="00373973">
      <w:pPr>
        <w:adjustRightInd w:val="0"/>
        <w:snapToGrid w:val="0"/>
        <w:spacing w:line="540" w:lineRule="exact"/>
        <w:ind w:firstLineChars="200" w:firstLine="560"/>
        <w:rPr>
          <w:sz w:val="28"/>
          <w:szCs w:val="28"/>
        </w:rPr>
      </w:pPr>
      <w:r w:rsidRPr="00373973">
        <w:rPr>
          <w:rFonts w:hint="eastAsia"/>
          <w:bCs/>
          <w:sz w:val="28"/>
          <w:szCs w:val="28"/>
        </w:rPr>
        <w:lastRenderedPageBreak/>
        <w:t>2.师资支撑能力得到增强。</w:t>
      </w:r>
      <w:r w:rsidRPr="00373973">
        <w:rPr>
          <w:rFonts w:hint="eastAsia"/>
          <w:sz w:val="28"/>
          <w:szCs w:val="28"/>
        </w:rPr>
        <w:t>俊彦学者计划2.0版即将实施。严把教师选用关，全年引进教师103名，培养和引进博士教师33名，坚持对新引进博士开展政治审查、档案审核、心理检测、学术成果查验，新引进博士综合素质显著提高。新增教授10名、副教授21名、讲师28名。获省级研究生教育优秀团队4个，6名教师被评为省级优秀导师。多</w:t>
      </w:r>
      <w:proofErr w:type="gramStart"/>
      <w:r w:rsidRPr="00373973">
        <w:rPr>
          <w:rFonts w:hint="eastAsia"/>
          <w:sz w:val="28"/>
          <w:szCs w:val="28"/>
        </w:rPr>
        <w:t>措</w:t>
      </w:r>
      <w:proofErr w:type="gramEnd"/>
      <w:r w:rsidRPr="00373973">
        <w:rPr>
          <w:rFonts w:hint="eastAsia"/>
          <w:sz w:val="28"/>
          <w:szCs w:val="28"/>
        </w:rPr>
        <w:t>并举</w:t>
      </w:r>
      <w:proofErr w:type="gramStart"/>
      <w:r w:rsidRPr="00373973">
        <w:rPr>
          <w:rFonts w:hint="eastAsia"/>
          <w:sz w:val="28"/>
          <w:szCs w:val="28"/>
        </w:rPr>
        <w:t>充实思政课</w:t>
      </w:r>
      <w:proofErr w:type="gramEnd"/>
      <w:r w:rsidRPr="00373973">
        <w:rPr>
          <w:rFonts w:hint="eastAsia"/>
          <w:sz w:val="28"/>
          <w:szCs w:val="28"/>
        </w:rPr>
        <w:t>教师队伍，</w:t>
      </w:r>
      <w:proofErr w:type="gramStart"/>
      <w:r w:rsidRPr="00373973">
        <w:rPr>
          <w:rFonts w:hint="eastAsia"/>
          <w:sz w:val="28"/>
          <w:szCs w:val="28"/>
        </w:rPr>
        <w:t>思政课</w:t>
      </w:r>
      <w:proofErr w:type="gramEnd"/>
      <w:r w:rsidRPr="00373973">
        <w:rPr>
          <w:rFonts w:hint="eastAsia"/>
          <w:sz w:val="28"/>
          <w:szCs w:val="28"/>
        </w:rPr>
        <w:t>教师总量达到基本要求。加强师德师风教育，开展“十佳青年教工”“十佳师德先进个人”评选，外国语学院郭建飞</w:t>
      </w:r>
      <w:proofErr w:type="gramStart"/>
      <w:r w:rsidRPr="00373973">
        <w:rPr>
          <w:rFonts w:hint="eastAsia"/>
          <w:sz w:val="28"/>
          <w:szCs w:val="28"/>
        </w:rPr>
        <w:t>老师获评全省</w:t>
      </w:r>
      <w:proofErr w:type="gramEnd"/>
      <w:r w:rsidRPr="00373973">
        <w:rPr>
          <w:rFonts w:hint="eastAsia"/>
          <w:sz w:val="28"/>
          <w:szCs w:val="28"/>
        </w:rPr>
        <w:t>教育系统“芙蓉百岗明星”。</w:t>
      </w:r>
    </w:p>
    <w:p w:rsidR="0088429C" w:rsidRPr="00373973" w:rsidRDefault="0088429C" w:rsidP="00373973">
      <w:pPr>
        <w:adjustRightInd w:val="0"/>
        <w:snapToGrid w:val="0"/>
        <w:spacing w:line="540" w:lineRule="exact"/>
        <w:ind w:firstLine="640"/>
        <w:rPr>
          <w:sz w:val="28"/>
          <w:szCs w:val="28"/>
        </w:rPr>
      </w:pPr>
      <w:r w:rsidRPr="00373973">
        <w:rPr>
          <w:rFonts w:hint="eastAsia"/>
          <w:bCs/>
          <w:sz w:val="28"/>
          <w:szCs w:val="28"/>
        </w:rPr>
        <w:t>3.科学研究取得新成果。</w:t>
      </w:r>
      <w:r w:rsidRPr="00373973">
        <w:rPr>
          <w:rFonts w:hint="eastAsia"/>
          <w:sz w:val="28"/>
          <w:szCs w:val="28"/>
        </w:rPr>
        <w:t>获湖南省科技进步奖二等奖2项、自然科学三等奖1项、第十五届湖南省优秀社科成果奖4项；获国家自科、社科基金项目26项，教育部项目4项，国家社科基金立项数列位全省高校前6名。获省社科</w:t>
      </w:r>
      <w:proofErr w:type="gramStart"/>
      <w:r w:rsidRPr="00373973">
        <w:rPr>
          <w:rFonts w:hint="eastAsia"/>
          <w:sz w:val="28"/>
          <w:szCs w:val="28"/>
        </w:rPr>
        <w:t>智库重大</w:t>
      </w:r>
      <w:proofErr w:type="gramEnd"/>
      <w:r w:rsidRPr="00373973">
        <w:rPr>
          <w:rFonts w:hint="eastAsia"/>
          <w:sz w:val="28"/>
          <w:szCs w:val="28"/>
        </w:rPr>
        <w:t>委托项目3项。教师发表SCI论文157篇，CSSCI论文57篇，SSCI论文9篇，CSCD论文49篇。授权各类专利74件，其中发明专利17件，在“湖南省知识产权综合服务信息平台”开放许可专利53件。学校入选首批湖南省高等学校科技成果转化和技术转移基地，首批签约加盟湖南省高校知识产权运营联盟。</w:t>
      </w:r>
    </w:p>
    <w:p w:rsidR="0088429C" w:rsidRPr="00373973" w:rsidRDefault="0088429C" w:rsidP="00373973">
      <w:pPr>
        <w:spacing w:line="540" w:lineRule="exact"/>
        <w:ind w:firstLineChars="200" w:firstLine="562"/>
        <w:rPr>
          <w:b/>
          <w:sz w:val="28"/>
          <w:szCs w:val="28"/>
          <w:highlight w:val="yellow"/>
        </w:rPr>
      </w:pPr>
      <w:r w:rsidRPr="00373973">
        <w:rPr>
          <w:rFonts w:cs="楷体" w:hint="eastAsia"/>
          <w:b/>
          <w:sz w:val="28"/>
          <w:szCs w:val="28"/>
        </w:rPr>
        <w:t>（五）坚持整体规划提质升级，办学能力稳步提升</w:t>
      </w:r>
    </w:p>
    <w:p w:rsidR="0088429C" w:rsidRPr="00373973" w:rsidRDefault="0088429C" w:rsidP="00373973">
      <w:pPr>
        <w:spacing w:line="540" w:lineRule="exact"/>
        <w:ind w:firstLineChars="200" w:firstLine="560"/>
        <w:rPr>
          <w:sz w:val="28"/>
          <w:szCs w:val="28"/>
        </w:rPr>
      </w:pPr>
      <w:r w:rsidRPr="00373973">
        <w:rPr>
          <w:rFonts w:hint="eastAsia"/>
          <w:bCs/>
          <w:sz w:val="28"/>
          <w:szCs w:val="28"/>
        </w:rPr>
        <w:t>1.办学空间拓展迎来历史机遇。</w:t>
      </w:r>
      <w:r w:rsidRPr="00373973">
        <w:rPr>
          <w:rFonts w:hint="eastAsia"/>
          <w:sz w:val="28"/>
          <w:szCs w:val="28"/>
        </w:rPr>
        <w:t>根据学校事业高质量发展需要，研究制定《吉首大学“十四五”事业发展总体规划》，明确了建设现代化新吉大的总体目标以及学校发展定位。大力推动提升空间承载力等8种办学能力。经积极谋划、反复沟通，州委州政府支持吉首大学师范学院整体实质性融入吉首大学，支持吉首大学拓展办学空间、加快双一流建设，州政府同意无偿划拨吉大师院旁的州农校地块和大田湾校区旁的</w:t>
      </w:r>
      <w:proofErr w:type="gramStart"/>
      <w:r w:rsidRPr="00373973">
        <w:rPr>
          <w:rFonts w:hint="eastAsia"/>
          <w:sz w:val="28"/>
          <w:szCs w:val="28"/>
        </w:rPr>
        <w:t>市幼专</w:t>
      </w:r>
      <w:proofErr w:type="gramEnd"/>
      <w:r w:rsidRPr="00373973">
        <w:rPr>
          <w:rFonts w:hint="eastAsia"/>
          <w:sz w:val="28"/>
          <w:szCs w:val="28"/>
        </w:rPr>
        <w:t>老校区地块给吉首大学，并修建跨</w:t>
      </w:r>
      <w:proofErr w:type="gramStart"/>
      <w:r w:rsidRPr="00373973">
        <w:rPr>
          <w:rFonts w:hint="eastAsia"/>
          <w:sz w:val="28"/>
          <w:szCs w:val="28"/>
        </w:rPr>
        <w:t>峒</w:t>
      </w:r>
      <w:proofErr w:type="gramEnd"/>
      <w:r w:rsidRPr="00373973">
        <w:rPr>
          <w:rFonts w:hint="eastAsia"/>
          <w:sz w:val="28"/>
          <w:szCs w:val="28"/>
        </w:rPr>
        <w:t>河大桥连通几个地块，形成可</w:t>
      </w:r>
      <w:r w:rsidRPr="00373973">
        <w:rPr>
          <w:rFonts w:hint="eastAsia"/>
          <w:sz w:val="28"/>
          <w:szCs w:val="28"/>
        </w:rPr>
        <w:lastRenderedPageBreak/>
        <w:t>容纳13000名学生的吉首</w:t>
      </w:r>
      <w:proofErr w:type="gramStart"/>
      <w:r w:rsidRPr="00373973">
        <w:rPr>
          <w:rFonts w:hint="eastAsia"/>
          <w:sz w:val="28"/>
          <w:szCs w:val="28"/>
        </w:rPr>
        <w:t>大学北</w:t>
      </w:r>
      <w:proofErr w:type="gramEnd"/>
      <w:r w:rsidRPr="00373973">
        <w:rPr>
          <w:rFonts w:hint="eastAsia"/>
          <w:sz w:val="28"/>
          <w:szCs w:val="28"/>
        </w:rPr>
        <w:t>校区。</w:t>
      </w:r>
      <w:proofErr w:type="gramStart"/>
      <w:r w:rsidRPr="00373973">
        <w:rPr>
          <w:rFonts w:hint="eastAsia"/>
          <w:sz w:val="28"/>
          <w:szCs w:val="28"/>
        </w:rPr>
        <w:t>目前州校双方</w:t>
      </w:r>
      <w:proofErr w:type="gramEnd"/>
      <w:r w:rsidRPr="00373973">
        <w:rPr>
          <w:rFonts w:hint="eastAsia"/>
          <w:sz w:val="28"/>
          <w:szCs w:val="28"/>
        </w:rPr>
        <w:t>已签署战略合作框架协议，困扰学校多年的办学空间问题可望彻底解决。</w:t>
      </w:r>
    </w:p>
    <w:p w:rsidR="0088429C" w:rsidRPr="00373973" w:rsidRDefault="0088429C" w:rsidP="00373973">
      <w:pPr>
        <w:spacing w:line="540" w:lineRule="exact"/>
        <w:ind w:firstLineChars="200" w:firstLine="560"/>
        <w:rPr>
          <w:sz w:val="28"/>
          <w:szCs w:val="28"/>
        </w:rPr>
      </w:pPr>
      <w:r w:rsidRPr="00373973">
        <w:rPr>
          <w:rFonts w:hint="eastAsia"/>
          <w:bCs/>
          <w:sz w:val="28"/>
          <w:szCs w:val="28"/>
        </w:rPr>
        <w:t>2.办学基础条件显著改善。</w:t>
      </w:r>
      <w:r w:rsidRPr="00373973">
        <w:rPr>
          <w:rFonts w:hint="eastAsia"/>
          <w:sz w:val="28"/>
          <w:szCs w:val="28"/>
        </w:rPr>
        <w:t>加强水电基础设施建设，完成校内一二级供水管网改造和水电计量设备换代、陈旧管网线路改造。争取吉首市支持建成大田湾校区跨校区天桥。完成砂子</w:t>
      </w:r>
      <w:proofErr w:type="gramStart"/>
      <w:r w:rsidRPr="00373973">
        <w:rPr>
          <w:rFonts w:hint="eastAsia"/>
          <w:sz w:val="28"/>
          <w:szCs w:val="28"/>
        </w:rPr>
        <w:t>坳</w:t>
      </w:r>
      <w:proofErr w:type="gramEnd"/>
      <w:r w:rsidRPr="00373973">
        <w:rPr>
          <w:rFonts w:hint="eastAsia"/>
          <w:sz w:val="28"/>
          <w:szCs w:val="28"/>
        </w:rPr>
        <w:t>校区图书馆加固和15#</w:t>
      </w:r>
      <w:proofErr w:type="gramStart"/>
      <w:r w:rsidRPr="00373973">
        <w:rPr>
          <w:rFonts w:hint="eastAsia"/>
          <w:sz w:val="28"/>
          <w:szCs w:val="28"/>
        </w:rPr>
        <w:t>栋学生</w:t>
      </w:r>
      <w:proofErr w:type="gramEnd"/>
      <w:r w:rsidRPr="00373973">
        <w:rPr>
          <w:rFonts w:hint="eastAsia"/>
          <w:sz w:val="28"/>
          <w:szCs w:val="28"/>
        </w:rPr>
        <w:t>公寓一、二期主体结构工程及部分附属工程，完成张家界校区综合</w:t>
      </w:r>
      <w:proofErr w:type="gramStart"/>
      <w:r w:rsidRPr="00373973">
        <w:rPr>
          <w:rFonts w:hint="eastAsia"/>
          <w:sz w:val="28"/>
          <w:szCs w:val="28"/>
        </w:rPr>
        <w:t>实训楼和</w:t>
      </w:r>
      <w:proofErr w:type="gramEnd"/>
      <w:r w:rsidRPr="00373973">
        <w:rPr>
          <w:rFonts w:hint="eastAsia"/>
          <w:sz w:val="28"/>
          <w:szCs w:val="28"/>
        </w:rPr>
        <w:t>11#</w:t>
      </w:r>
      <w:proofErr w:type="gramStart"/>
      <w:r w:rsidRPr="00373973">
        <w:rPr>
          <w:rFonts w:hint="eastAsia"/>
          <w:sz w:val="28"/>
          <w:szCs w:val="28"/>
        </w:rPr>
        <w:t>栋学生</w:t>
      </w:r>
      <w:proofErr w:type="gramEnd"/>
      <w:r w:rsidRPr="00373973">
        <w:rPr>
          <w:rFonts w:hint="eastAsia"/>
          <w:sz w:val="28"/>
          <w:szCs w:val="28"/>
        </w:rPr>
        <w:t>公寓连接道路建设，砂子</w:t>
      </w:r>
      <w:proofErr w:type="gramStart"/>
      <w:r w:rsidRPr="00373973">
        <w:rPr>
          <w:rFonts w:hint="eastAsia"/>
          <w:sz w:val="28"/>
          <w:szCs w:val="28"/>
        </w:rPr>
        <w:t>坳</w:t>
      </w:r>
      <w:proofErr w:type="gramEnd"/>
      <w:r w:rsidRPr="00373973">
        <w:rPr>
          <w:rFonts w:hint="eastAsia"/>
          <w:sz w:val="28"/>
          <w:szCs w:val="28"/>
        </w:rPr>
        <w:t>校区15#</w:t>
      </w:r>
      <w:proofErr w:type="gramStart"/>
      <w:r w:rsidRPr="00373973">
        <w:rPr>
          <w:rFonts w:hint="eastAsia"/>
          <w:sz w:val="28"/>
          <w:szCs w:val="28"/>
        </w:rPr>
        <w:t>栋学生</w:t>
      </w:r>
      <w:proofErr w:type="gramEnd"/>
      <w:r w:rsidRPr="00373973">
        <w:rPr>
          <w:rFonts w:hint="eastAsia"/>
          <w:sz w:val="28"/>
          <w:szCs w:val="28"/>
        </w:rPr>
        <w:t>公寓预计2023年可投入使用。</w:t>
      </w:r>
    </w:p>
    <w:p w:rsidR="0088429C" w:rsidRPr="00373973" w:rsidRDefault="0088429C" w:rsidP="00373973">
      <w:pPr>
        <w:spacing w:line="540" w:lineRule="exact"/>
        <w:ind w:firstLineChars="200" w:firstLine="560"/>
        <w:rPr>
          <w:sz w:val="28"/>
          <w:szCs w:val="28"/>
        </w:rPr>
      </w:pPr>
      <w:r w:rsidRPr="00373973">
        <w:rPr>
          <w:rFonts w:hint="eastAsia"/>
          <w:bCs/>
          <w:sz w:val="28"/>
          <w:szCs w:val="28"/>
        </w:rPr>
        <w:t>3.实验教学条件逐步提高。</w:t>
      </w:r>
      <w:r w:rsidRPr="00373973">
        <w:rPr>
          <w:rFonts w:hint="eastAsia"/>
          <w:sz w:val="28"/>
          <w:szCs w:val="28"/>
        </w:rPr>
        <w:t>投入2290万元，建成了药学类专业实验中心等6个实验室。投入420万元，立项提质非线性编辑实验室和教师技能发展中心。争取州政府支持120万元、学校配套40万元，购买大型仪器-</w:t>
      </w:r>
      <w:proofErr w:type="gramStart"/>
      <w:r w:rsidRPr="00373973">
        <w:rPr>
          <w:rFonts w:hint="eastAsia"/>
          <w:sz w:val="28"/>
          <w:szCs w:val="28"/>
        </w:rPr>
        <w:t>液质联用</w:t>
      </w:r>
      <w:proofErr w:type="gramEnd"/>
      <w:r w:rsidRPr="00373973">
        <w:rPr>
          <w:rFonts w:hint="eastAsia"/>
          <w:sz w:val="28"/>
          <w:szCs w:val="28"/>
        </w:rPr>
        <w:t>仪。</w:t>
      </w:r>
    </w:p>
    <w:p w:rsidR="0088429C" w:rsidRPr="00373973" w:rsidRDefault="0088429C" w:rsidP="00373973">
      <w:pPr>
        <w:spacing w:line="540" w:lineRule="exact"/>
        <w:ind w:firstLine="640"/>
        <w:rPr>
          <w:rFonts w:cs="楷体"/>
          <w:b/>
          <w:sz w:val="28"/>
          <w:szCs w:val="28"/>
        </w:rPr>
      </w:pPr>
      <w:r w:rsidRPr="00373973">
        <w:rPr>
          <w:rFonts w:cs="楷体" w:hint="eastAsia"/>
          <w:b/>
          <w:sz w:val="28"/>
          <w:szCs w:val="28"/>
        </w:rPr>
        <w:t>（六）坚持服务地方发展，社会影响</w:t>
      </w:r>
      <w:proofErr w:type="gramStart"/>
      <w:r w:rsidRPr="00373973">
        <w:rPr>
          <w:rFonts w:cs="楷体" w:hint="eastAsia"/>
          <w:b/>
          <w:sz w:val="28"/>
          <w:szCs w:val="28"/>
        </w:rPr>
        <w:t>力显著</w:t>
      </w:r>
      <w:proofErr w:type="gramEnd"/>
      <w:r w:rsidRPr="00373973">
        <w:rPr>
          <w:rFonts w:cs="楷体" w:hint="eastAsia"/>
          <w:b/>
          <w:sz w:val="28"/>
          <w:szCs w:val="28"/>
        </w:rPr>
        <w:t>扩大</w:t>
      </w:r>
    </w:p>
    <w:p w:rsidR="0088429C" w:rsidRPr="00373973" w:rsidRDefault="0088429C" w:rsidP="00373973">
      <w:pPr>
        <w:spacing w:line="540" w:lineRule="exact"/>
        <w:ind w:firstLineChars="200" w:firstLine="560"/>
        <w:rPr>
          <w:sz w:val="28"/>
          <w:szCs w:val="28"/>
        </w:rPr>
      </w:pPr>
      <w:r w:rsidRPr="00373973">
        <w:rPr>
          <w:rFonts w:hint="eastAsia"/>
          <w:bCs/>
          <w:sz w:val="28"/>
          <w:szCs w:val="28"/>
        </w:rPr>
        <w:t>1.全面加强校地合作。</w:t>
      </w:r>
      <w:r w:rsidRPr="00373973">
        <w:rPr>
          <w:rFonts w:hint="eastAsia"/>
          <w:sz w:val="28"/>
          <w:szCs w:val="28"/>
        </w:rPr>
        <w:t>与湘西州政府、湘西州高新区、吉首市、张家界市、酒鬼酒公司等地方政府和企业签订战略合作协议和产学研合作协议，推动解决大湘西地区支柱产业发展中“卡脖子”的关键技术问题，与湘西州政府共同筹建白酒产业、绿色矿业、信息产业、生物制药4个产业技术创新联盟，与吉首市合作共建直属型三甲附属医院、附属学校，与酒鬼酒公司合作开展白酒酿造专业建设和科技研发。</w:t>
      </w:r>
    </w:p>
    <w:p w:rsidR="0088429C" w:rsidRPr="00373973" w:rsidRDefault="0088429C" w:rsidP="00373973">
      <w:pPr>
        <w:spacing w:line="540" w:lineRule="exact"/>
        <w:ind w:firstLineChars="200" w:firstLine="560"/>
        <w:rPr>
          <w:bCs/>
          <w:sz w:val="28"/>
          <w:szCs w:val="28"/>
        </w:rPr>
      </w:pPr>
      <w:r w:rsidRPr="00373973">
        <w:rPr>
          <w:rFonts w:hint="eastAsia"/>
          <w:bCs/>
          <w:sz w:val="28"/>
          <w:szCs w:val="28"/>
        </w:rPr>
        <w:t>2.主动服务乡村振兴。积极推动省级研究平台“湖南省乡村振兴战略研究中心”建设。派出科技特派员、三区人才55人赴怀化市、张家界市、湘西州多个乡镇进行科技帮扶，优选</w:t>
      </w:r>
      <w:proofErr w:type="gramStart"/>
      <w:r w:rsidRPr="00373973">
        <w:rPr>
          <w:rFonts w:hint="eastAsia"/>
          <w:bCs/>
          <w:sz w:val="28"/>
          <w:szCs w:val="28"/>
        </w:rPr>
        <w:t>一</w:t>
      </w:r>
      <w:proofErr w:type="gramEnd"/>
      <w:r w:rsidRPr="00373973">
        <w:rPr>
          <w:rFonts w:hint="eastAsia"/>
          <w:bCs/>
          <w:sz w:val="28"/>
          <w:szCs w:val="28"/>
        </w:rPr>
        <w:t>支教授带队的3人工作组入驻永顺县五官村开展驻村帮扶，组织编制五官村“产业发展规划”，深入开展结对帮扶和结对联系，圆满完成消费帮扶任务，受到省教育厅</w:t>
      </w:r>
      <w:r w:rsidRPr="00373973">
        <w:rPr>
          <w:rFonts w:hint="eastAsia"/>
          <w:bCs/>
          <w:sz w:val="28"/>
          <w:szCs w:val="28"/>
        </w:rPr>
        <w:lastRenderedPageBreak/>
        <w:t>通报表扬。湘西州委州政府、保靖县委县政府致信感谢学校对地方发展和乡村振兴做出的贡献。坚持服务社会，学校西部办被国家西部志愿者项目办连续8年评为优秀项目办。</w:t>
      </w:r>
    </w:p>
    <w:p w:rsidR="0088429C" w:rsidRPr="00373973" w:rsidRDefault="0088429C" w:rsidP="00373973">
      <w:pPr>
        <w:spacing w:line="540" w:lineRule="exact"/>
        <w:ind w:firstLineChars="200" w:firstLine="560"/>
        <w:rPr>
          <w:sz w:val="28"/>
          <w:szCs w:val="28"/>
        </w:rPr>
      </w:pPr>
      <w:r w:rsidRPr="00373973">
        <w:rPr>
          <w:rFonts w:hint="eastAsia"/>
          <w:bCs/>
          <w:sz w:val="28"/>
          <w:szCs w:val="28"/>
        </w:rPr>
        <w:t>3.积极推进成果转化。</w:t>
      </w:r>
      <w:r w:rsidRPr="00373973">
        <w:rPr>
          <w:rFonts w:hint="eastAsia"/>
          <w:sz w:val="28"/>
          <w:szCs w:val="28"/>
        </w:rPr>
        <w:t>学校全年授权各类专利74件，其中发明专利17件，在“湖南省知识产权综合服务信息平台”开放许可专利53件。截止2022年6月，学校在国家知识产权局登记生效的专利权转让数位居全国高校第66位、湖南高校第二位，仅居中</w:t>
      </w:r>
      <w:proofErr w:type="gramStart"/>
      <w:r w:rsidRPr="00373973">
        <w:rPr>
          <w:rFonts w:hint="eastAsia"/>
          <w:sz w:val="28"/>
          <w:szCs w:val="28"/>
        </w:rPr>
        <w:t>南大学</w:t>
      </w:r>
      <w:proofErr w:type="gramEnd"/>
      <w:r w:rsidRPr="00373973">
        <w:rPr>
          <w:rFonts w:hint="eastAsia"/>
          <w:sz w:val="28"/>
          <w:szCs w:val="28"/>
        </w:rPr>
        <w:t>之后。学校入选首批湖南省高等学校科技成果转化和技术转移基地，首批签约加盟湖南省高校知识产权运营联盟。</w:t>
      </w:r>
    </w:p>
    <w:p w:rsidR="0088429C" w:rsidRPr="00373973" w:rsidRDefault="0088429C" w:rsidP="00373973">
      <w:pPr>
        <w:spacing w:line="540" w:lineRule="exact"/>
        <w:ind w:firstLine="641"/>
        <w:rPr>
          <w:rFonts w:ascii="黑体" w:eastAsia="黑体" w:hAnsi="黑体"/>
          <w:sz w:val="32"/>
          <w:szCs w:val="32"/>
        </w:rPr>
      </w:pPr>
      <w:r w:rsidRPr="00373973">
        <w:rPr>
          <w:rFonts w:ascii="黑体" w:eastAsia="黑体" w:hAnsi="黑体" w:hint="eastAsia"/>
          <w:sz w:val="32"/>
          <w:szCs w:val="32"/>
        </w:rPr>
        <w:t>七、存在的问题及原因分析</w:t>
      </w:r>
    </w:p>
    <w:p w:rsidR="0088429C" w:rsidRPr="00373973" w:rsidRDefault="0088429C" w:rsidP="00373973">
      <w:pPr>
        <w:spacing w:line="540" w:lineRule="exact"/>
        <w:ind w:firstLine="641"/>
        <w:rPr>
          <w:b/>
          <w:bCs/>
          <w:sz w:val="28"/>
          <w:szCs w:val="28"/>
        </w:rPr>
      </w:pPr>
      <w:r w:rsidRPr="00373973">
        <w:rPr>
          <w:rFonts w:cs="楷体" w:hint="eastAsia"/>
          <w:b/>
          <w:bCs/>
          <w:sz w:val="28"/>
          <w:szCs w:val="28"/>
        </w:rPr>
        <w:t>（一）绩效评价管理理念有待深入</w:t>
      </w:r>
    </w:p>
    <w:p w:rsidR="0088429C" w:rsidRPr="00373973" w:rsidRDefault="0088429C" w:rsidP="00373973">
      <w:pPr>
        <w:spacing w:line="540" w:lineRule="exact"/>
        <w:ind w:firstLine="641"/>
        <w:rPr>
          <w:sz w:val="28"/>
          <w:szCs w:val="28"/>
        </w:rPr>
      </w:pPr>
      <w:r w:rsidRPr="00373973">
        <w:rPr>
          <w:rFonts w:hint="eastAsia"/>
          <w:sz w:val="28"/>
          <w:szCs w:val="28"/>
        </w:rPr>
        <w:t>个别经费执行部门对绩效评价管理理念的理解不强，个别项目更重视过程而不是结果，容易陷入过程导向。</w:t>
      </w:r>
    </w:p>
    <w:p w:rsidR="0088429C" w:rsidRPr="00373973" w:rsidRDefault="0088429C" w:rsidP="00373973">
      <w:pPr>
        <w:spacing w:line="540" w:lineRule="exact"/>
        <w:ind w:firstLine="641"/>
        <w:rPr>
          <w:rFonts w:cs="楷体"/>
          <w:sz w:val="28"/>
          <w:szCs w:val="28"/>
        </w:rPr>
      </w:pPr>
      <w:r w:rsidRPr="00373973">
        <w:rPr>
          <w:rFonts w:cs="楷体" w:hint="eastAsia"/>
          <w:b/>
          <w:bCs/>
          <w:sz w:val="28"/>
          <w:szCs w:val="28"/>
        </w:rPr>
        <w:t>（二）个别项目经费的预算绩效目标还不明晰</w:t>
      </w:r>
    </w:p>
    <w:p w:rsidR="0088429C" w:rsidRPr="00373973" w:rsidRDefault="0088429C" w:rsidP="00373973">
      <w:pPr>
        <w:spacing w:line="540" w:lineRule="exact"/>
        <w:ind w:firstLine="641"/>
        <w:rPr>
          <w:sz w:val="28"/>
          <w:szCs w:val="28"/>
        </w:rPr>
      </w:pPr>
      <w:r w:rsidRPr="00373973">
        <w:rPr>
          <w:rFonts w:hint="eastAsia"/>
          <w:sz w:val="28"/>
          <w:szCs w:val="28"/>
        </w:rPr>
        <w:t>个别项目执行单位在绩效目标编制过程中还存在部分指标不够完整，绩效考核指标设置过于宽泛，缺乏定量的评价指标，影响了评价结论的科学性。</w:t>
      </w:r>
    </w:p>
    <w:p w:rsidR="0088429C" w:rsidRPr="00373973" w:rsidRDefault="0088429C" w:rsidP="00373973">
      <w:pPr>
        <w:spacing w:line="540" w:lineRule="exact"/>
        <w:ind w:firstLine="641"/>
        <w:rPr>
          <w:rFonts w:cs="楷体"/>
          <w:b/>
          <w:bCs/>
          <w:sz w:val="28"/>
          <w:szCs w:val="28"/>
        </w:rPr>
      </w:pPr>
      <w:r w:rsidRPr="00373973">
        <w:rPr>
          <w:rFonts w:cs="楷体" w:hint="eastAsia"/>
          <w:b/>
          <w:bCs/>
          <w:sz w:val="28"/>
          <w:szCs w:val="28"/>
        </w:rPr>
        <w:t>（三）个别项目经费的预算执行有待加强</w:t>
      </w:r>
    </w:p>
    <w:p w:rsidR="0088429C" w:rsidRPr="00373973" w:rsidRDefault="0088429C" w:rsidP="00373973">
      <w:pPr>
        <w:spacing w:line="540" w:lineRule="exact"/>
        <w:ind w:firstLine="641"/>
        <w:rPr>
          <w:sz w:val="28"/>
          <w:szCs w:val="28"/>
        </w:rPr>
      </w:pPr>
      <w:r w:rsidRPr="00373973">
        <w:rPr>
          <w:rFonts w:hint="eastAsia"/>
          <w:sz w:val="28"/>
          <w:szCs w:val="28"/>
        </w:rPr>
        <w:t>个别专项经费的预算执行情况较缓慢，绩效完成情况与绩效目标还存在一定的差距。主要原因一方面是疫情影响，另一方面是个别项目的前期推进工作相对滞后。</w:t>
      </w:r>
    </w:p>
    <w:p w:rsidR="0088429C" w:rsidRPr="00373973" w:rsidRDefault="0088429C" w:rsidP="00373973">
      <w:pPr>
        <w:spacing w:line="540" w:lineRule="exact"/>
        <w:ind w:firstLine="641"/>
        <w:rPr>
          <w:rFonts w:ascii="黑体" w:eastAsia="黑体" w:hAnsi="黑体"/>
          <w:sz w:val="32"/>
          <w:szCs w:val="32"/>
        </w:rPr>
      </w:pPr>
      <w:r w:rsidRPr="00373973">
        <w:rPr>
          <w:rFonts w:ascii="黑体" w:eastAsia="黑体" w:hAnsi="黑体"/>
          <w:sz w:val="32"/>
          <w:szCs w:val="32"/>
        </w:rPr>
        <w:t>八、下一步改进措施</w:t>
      </w:r>
    </w:p>
    <w:p w:rsidR="0088429C" w:rsidRPr="00373973" w:rsidRDefault="0088429C" w:rsidP="00373973">
      <w:pPr>
        <w:spacing w:line="540" w:lineRule="exact"/>
        <w:ind w:firstLine="641"/>
        <w:rPr>
          <w:rFonts w:cs="楷体"/>
          <w:b/>
          <w:bCs/>
          <w:sz w:val="28"/>
          <w:szCs w:val="28"/>
        </w:rPr>
      </w:pPr>
      <w:r w:rsidRPr="00373973">
        <w:rPr>
          <w:rFonts w:cs="楷体" w:hint="eastAsia"/>
          <w:b/>
          <w:bCs/>
          <w:sz w:val="28"/>
          <w:szCs w:val="28"/>
        </w:rPr>
        <w:t>（一）强化预算绩效评价管理理念的深入</w:t>
      </w:r>
    </w:p>
    <w:p w:rsidR="0088429C" w:rsidRPr="00373973" w:rsidRDefault="0088429C" w:rsidP="00373973">
      <w:pPr>
        <w:spacing w:line="540" w:lineRule="exact"/>
        <w:ind w:firstLine="641"/>
        <w:rPr>
          <w:sz w:val="28"/>
          <w:szCs w:val="28"/>
        </w:rPr>
      </w:pPr>
      <w:r w:rsidRPr="00373973">
        <w:rPr>
          <w:rFonts w:hint="eastAsia"/>
          <w:sz w:val="28"/>
          <w:szCs w:val="28"/>
        </w:rPr>
        <w:lastRenderedPageBreak/>
        <w:t>不论是从顶层设计层面，还是从项目执行层面，各个层面的参与执行人员对预算绩效评价的理解深度需要进一步加强，从而优化预算执行过程的经济效率和预算绩效目标的执行效率。</w:t>
      </w:r>
    </w:p>
    <w:p w:rsidR="0088429C" w:rsidRPr="00373973" w:rsidRDefault="0088429C" w:rsidP="00373973">
      <w:pPr>
        <w:spacing w:line="540" w:lineRule="exact"/>
        <w:ind w:firstLine="641"/>
        <w:rPr>
          <w:rFonts w:cs="楷体"/>
          <w:sz w:val="28"/>
          <w:szCs w:val="28"/>
        </w:rPr>
      </w:pPr>
      <w:r w:rsidRPr="00373973">
        <w:rPr>
          <w:rFonts w:cs="楷体" w:hint="eastAsia"/>
          <w:b/>
          <w:bCs/>
          <w:sz w:val="28"/>
          <w:szCs w:val="28"/>
        </w:rPr>
        <w:t>（二）强化预算申报的绩效目标编制</w:t>
      </w:r>
    </w:p>
    <w:p w:rsidR="0088429C" w:rsidRPr="00373973" w:rsidRDefault="0088429C" w:rsidP="00373973">
      <w:pPr>
        <w:spacing w:line="540" w:lineRule="exact"/>
        <w:ind w:firstLine="641"/>
        <w:rPr>
          <w:sz w:val="28"/>
          <w:szCs w:val="28"/>
        </w:rPr>
      </w:pPr>
      <w:r w:rsidRPr="00373973">
        <w:rPr>
          <w:rFonts w:hint="eastAsia"/>
          <w:sz w:val="28"/>
          <w:szCs w:val="28"/>
        </w:rPr>
        <w:t>加强对绩效目标编制的科学性分析，尽量将单个项目的绩效目标考核指标化繁为简，提升考核指标的实操性和有用性。</w:t>
      </w:r>
    </w:p>
    <w:p w:rsidR="0088429C" w:rsidRPr="00373973" w:rsidRDefault="0088429C" w:rsidP="00373973">
      <w:pPr>
        <w:spacing w:line="540" w:lineRule="exact"/>
        <w:ind w:firstLine="641"/>
        <w:rPr>
          <w:rFonts w:cs="楷体"/>
          <w:b/>
          <w:bCs/>
          <w:sz w:val="28"/>
          <w:szCs w:val="28"/>
        </w:rPr>
      </w:pPr>
      <w:r w:rsidRPr="00373973">
        <w:rPr>
          <w:rFonts w:cs="楷体" w:hint="eastAsia"/>
          <w:b/>
          <w:bCs/>
          <w:sz w:val="28"/>
          <w:szCs w:val="28"/>
        </w:rPr>
        <w:t>（三）强化预算绩效评价</w:t>
      </w:r>
    </w:p>
    <w:p w:rsidR="0088429C" w:rsidRPr="00373973" w:rsidRDefault="0088429C" w:rsidP="00373973">
      <w:pPr>
        <w:spacing w:line="540" w:lineRule="exact"/>
        <w:ind w:firstLine="641"/>
        <w:rPr>
          <w:sz w:val="28"/>
          <w:szCs w:val="28"/>
        </w:rPr>
      </w:pPr>
      <w:r w:rsidRPr="00373973">
        <w:rPr>
          <w:rFonts w:hint="eastAsia"/>
          <w:sz w:val="28"/>
          <w:szCs w:val="28"/>
        </w:rPr>
        <w:t>加强年度资金执行绩效考评，在对预算执行较差及绩效目标不明显的项目在一定范围内通报。同时提炼共性内容，共享评价成果，形成综合的考评工作机制，减少重复工作投入，提升工作效能，切实达到</w:t>
      </w:r>
      <w:proofErr w:type="gramStart"/>
      <w:r w:rsidRPr="00373973">
        <w:rPr>
          <w:rFonts w:hint="eastAsia"/>
          <w:sz w:val="28"/>
          <w:szCs w:val="28"/>
        </w:rPr>
        <w:t>以评促建</w:t>
      </w:r>
      <w:proofErr w:type="gramEnd"/>
      <w:r w:rsidRPr="00373973">
        <w:rPr>
          <w:rFonts w:hint="eastAsia"/>
          <w:sz w:val="28"/>
          <w:szCs w:val="28"/>
        </w:rPr>
        <w:t>的效果。</w:t>
      </w:r>
    </w:p>
    <w:p w:rsidR="0088429C" w:rsidRPr="00373973" w:rsidRDefault="0088429C" w:rsidP="00373973">
      <w:pPr>
        <w:spacing w:line="540" w:lineRule="exact"/>
        <w:ind w:firstLine="640"/>
        <w:rPr>
          <w:rFonts w:cs="楷体"/>
          <w:b/>
          <w:bCs/>
          <w:sz w:val="28"/>
          <w:szCs w:val="28"/>
        </w:rPr>
      </w:pPr>
      <w:r w:rsidRPr="00373973">
        <w:rPr>
          <w:rFonts w:cs="楷体" w:hint="eastAsia"/>
          <w:b/>
          <w:bCs/>
          <w:sz w:val="28"/>
          <w:szCs w:val="28"/>
        </w:rPr>
        <w:t>（四）实行项目进度动态管理</w:t>
      </w:r>
    </w:p>
    <w:p w:rsidR="00B87C8A" w:rsidRPr="00373973" w:rsidRDefault="0088429C" w:rsidP="00373973">
      <w:pPr>
        <w:spacing w:line="540" w:lineRule="exact"/>
        <w:ind w:firstLine="640"/>
        <w:rPr>
          <w:sz w:val="28"/>
          <w:szCs w:val="28"/>
        </w:rPr>
      </w:pPr>
      <w:r w:rsidRPr="00373973">
        <w:rPr>
          <w:rFonts w:hint="eastAsia"/>
          <w:sz w:val="28"/>
          <w:szCs w:val="28"/>
        </w:rPr>
        <w:t>督促项目实施单位早启动、早实施、早验收，对符合条件的项目按照项目进度支付相关款项，将预算资金管理贯穿于项目实施全过程中。</w:t>
      </w:r>
    </w:p>
    <w:sectPr w:rsidR="00B87C8A" w:rsidRPr="00373973" w:rsidSect="00B87C8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0ED" w:rsidRDefault="008A60ED" w:rsidP="002D1C8A">
      <w:r>
        <w:separator/>
      </w:r>
    </w:p>
  </w:endnote>
  <w:endnote w:type="continuationSeparator" w:id="0">
    <w:p w:rsidR="008A60ED" w:rsidRDefault="008A60ED" w:rsidP="002D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0ED" w:rsidRDefault="008A60ED" w:rsidP="002D1C8A">
      <w:r>
        <w:separator/>
      </w:r>
    </w:p>
  </w:footnote>
  <w:footnote w:type="continuationSeparator" w:id="0">
    <w:p w:rsidR="008A60ED" w:rsidRDefault="008A60ED" w:rsidP="002D1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D6FDB6"/>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5050966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745C6A74"/>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6AEA730"/>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88CED12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79C86B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79E4A2C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FD706C7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6EB48E8A"/>
    <w:lvl w:ilvl="0">
      <w:start w:val="1"/>
      <w:numFmt w:val="decimal"/>
      <w:lvlText w:val="%1."/>
      <w:lvlJc w:val="left"/>
      <w:pPr>
        <w:tabs>
          <w:tab w:val="num" w:pos="360"/>
        </w:tabs>
        <w:ind w:left="360" w:hangingChars="200" w:hanging="360"/>
      </w:pPr>
    </w:lvl>
  </w:abstractNum>
  <w:abstractNum w:abstractNumId="9">
    <w:nsid w:val="FFFFFF89"/>
    <w:multiLevelType w:val="singleLevel"/>
    <w:tmpl w:val="D2B897F4"/>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lMjViYmUxNzJiNTAzNzhhYWU1OTMyYWE3NmUxYjAifQ=="/>
  </w:docVars>
  <w:rsids>
    <w:rsidRoot w:val="00172A27"/>
    <w:rsid w:val="00024FAA"/>
    <w:rsid w:val="000300E3"/>
    <w:rsid w:val="00033EDD"/>
    <w:rsid w:val="000921DA"/>
    <w:rsid w:val="000E29D8"/>
    <w:rsid w:val="000E7F01"/>
    <w:rsid w:val="00112218"/>
    <w:rsid w:val="00143480"/>
    <w:rsid w:val="0016767A"/>
    <w:rsid w:val="00170AEE"/>
    <w:rsid w:val="00172A27"/>
    <w:rsid w:val="001E63C1"/>
    <w:rsid w:val="001F69B0"/>
    <w:rsid w:val="00211047"/>
    <w:rsid w:val="00212030"/>
    <w:rsid w:val="0024617C"/>
    <w:rsid w:val="002644E6"/>
    <w:rsid w:val="00267689"/>
    <w:rsid w:val="002D1C8A"/>
    <w:rsid w:val="002D625C"/>
    <w:rsid w:val="003009D3"/>
    <w:rsid w:val="00317683"/>
    <w:rsid w:val="00331910"/>
    <w:rsid w:val="00362F01"/>
    <w:rsid w:val="00373973"/>
    <w:rsid w:val="003F084F"/>
    <w:rsid w:val="003F0F38"/>
    <w:rsid w:val="003F4204"/>
    <w:rsid w:val="004416E1"/>
    <w:rsid w:val="00461BB2"/>
    <w:rsid w:val="00483D14"/>
    <w:rsid w:val="004A4DC4"/>
    <w:rsid w:val="004A7B8B"/>
    <w:rsid w:val="004B40B1"/>
    <w:rsid w:val="0052056A"/>
    <w:rsid w:val="00556574"/>
    <w:rsid w:val="005832F9"/>
    <w:rsid w:val="00591AB9"/>
    <w:rsid w:val="00592C87"/>
    <w:rsid w:val="005D72A6"/>
    <w:rsid w:val="005F4577"/>
    <w:rsid w:val="00612DDE"/>
    <w:rsid w:val="0062794E"/>
    <w:rsid w:val="006417C5"/>
    <w:rsid w:val="00657CA8"/>
    <w:rsid w:val="006C4E00"/>
    <w:rsid w:val="007402CC"/>
    <w:rsid w:val="0074118E"/>
    <w:rsid w:val="0074685C"/>
    <w:rsid w:val="007479CE"/>
    <w:rsid w:val="00793FA0"/>
    <w:rsid w:val="007A2648"/>
    <w:rsid w:val="007A4732"/>
    <w:rsid w:val="007C525E"/>
    <w:rsid w:val="007F7A26"/>
    <w:rsid w:val="00803058"/>
    <w:rsid w:val="00834D32"/>
    <w:rsid w:val="00840306"/>
    <w:rsid w:val="0084256A"/>
    <w:rsid w:val="008741C5"/>
    <w:rsid w:val="0087692E"/>
    <w:rsid w:val="0088429C"/>
    <w:rsid w:val="008A44E9"/>
    <w:rsid w:val="008A60ED"/>
    <w:rsid w:val="008C38E4"/>
    <w:rsid w:val="008D1106"/>
    <w:rsid w:val="008F7D05"/>
    <w:rsid w:val="0090243A"/>
    <w:rsid w:val="00906FDB"/>
    <w:rsid w:val="00930D56"/>
    <w:rsid w:val="00931FE7"/>
    <w:rsid w:val="0094525D"/>
    <w:rsid w:val="00980C36"/>
    <w:rsid w:val="009B5C86"/>
    <w:rsid w:val="009D261B"/>
    <w:rsid w:val="009F2B1E"/>
    <w:rsid w:val="00A1397F"/>
    <w:rsid w:val="00A43A12"/>
    <w:rsid w:val="00A4578A"/>
    <w:rsid w:val="00A462A7"/>
    <w:rsid w:val="00A8447A"/>
    <w:rsid w:val="00A85AF5"/>
    <w:rsid w:val="00AB139F"/>
    <w:rsid w:val="00AB6648"/>
    <w:rsid w:val="00AD21AA"/>
    <w:rsid w:val="00AD474E"/>
    <w:rsid w:val="00AD5EDE"/>
    <w:rsid w:val="00AF481F"/>
    <w:rsid w:val="00B130A7"/>
    <w:rsid w:val="00B237E9"/>
    <w:rsid w:val="00B35A8F"/>
    <w:rsid w:val="00B6107F"/>
    <w:rsid w:val="00B63611"/>
    <w:rsid w:val="00B7408F"/>
    <w:rsid w:val="00B87C8A"/>
    <w:rsid w:val="00BA29D2"/>
    <w:rsid w:val="00BA356D"/>
    <w:rsid w:val="00BB7447"/>
    <w:rsid w:val="00BC1E57"/>
    <w:rsid w:val="00BC7FC7"/>
    <w:rsid w:val="00C158FE"/>
    <w:rsid w:val="00C379C8"/>
    <w:rsid w:val="00C500CE"/>
    <w:rsid w:val="00C53754"/>
    <w:rsid w:val="00C62F1C"/>
    <w:rsid w:val="00C96785"/>
    <w:rsid w:val="00C96872"/>
    <w:rsid w:val="00CA5E48"/>
    <w:rsid w:val="00CC2BDC"/>
    <w:rsid w:val="00CF6605"/>
    <w:rsid w:val="00D00134"/>
    <w:rsid w:val="00D0235F"/>
    <w:rsid w:val="00D024A8"/>
    <w:rsid w:val="00D26140"/>
    <w:rsid w:val="00D2661D"/>
    <w:rsid w:val="00D472CF"/>
    <w:rsid w:val="00D660B3"/>
    <w:rsid w:val="00DC272D"/>
    <w:rsid w:val="00DC7B32"/>
    <w:rsid w:val="00DE490E"/>
    <w:rsid w:val="00DF0662"/>
    <w:rsid w:val="00E1428D"/>
    <w:rsid w:val="00E22C59"/>
    <w:rsid w:val="00E5561C"/>
    <w:rsid w:val="00E764E7"/>
    <w:rsid w:val="00E94A21"/>
    <w:rsid w:val="00EA3479"/>
    <w:rsid w:val="00EA492B"/>
    <w:rsid w:val="00EC5189"/>
    <w:rsid w:val="00EC6769"/>
    <w:rsid w:val="00ED4410"/>
    <w:rsid w:val="00F3533C"/>
    <w:rsid w:val="00F40E5C"/>
    <w:rsid w:val="00F46DBB"/>
    <w:rsid w:val="00F71C32"/>
    <w:rsid w:val="00F967E8"/>
    <w:rsid w:val="00FB5458"/>
    <w:rsid w:val="00FC2C8C"/>
    <w:rsid w:val="00FD3E4C"/>
    <w:rsid w:val="00FD41F4"/>
    <w:rsid w:val="00FD5607"/>
    <w:rsid w:val="0C0F5B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0" w:unhideWhenUsed="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uiPriority="35"/>
    <w:lsdException w:name="Title" w:uiPriority="10"/>
    <w:lsdException w:name="Default Paragraph Font" w:uiPriority="1" w:unhideWhenUsed="1" w:qFormat="0"/>
    <w:lsdException w:name="Subtitle" w:uiPriority="11"/>
    <w:lsdException w:name="Date"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unhideWhenUsed="1"/>
    <w:lsdException w:name="Quote" w:semiHidden="1" w:unhideWhenUsed="1" w:qFormat="0"/>
    <w:lsdException w:name="Intense Quote" w:semiHidden="1"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83D14"/>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B87C8A"/>
    <w:pPr>
      <w:ind w:leftChars="2500" w:left="100"/>
    </w:pPr>
  </w:style>
  <w:style w:type="paragraph" w:styleId="a4">
    <w:name w:val="footer"/>
    <w:basedOn w:val="a"/>
    <w:link w:val="Char0"/>
    <w:uiPriority w:val="99"/>
    <w:unhideWhenUsed/>
    <w:rsid w:val="00B87C8A"/>
    <w:pPr>
      <w:tabs>
        <w:tab w:val="center" w:pos="4153"/>
        <w:tab w:val="right" w:pos="8306"/>
      </w:tabs>
      <w:snapToGrid w:val="0"/>
    </w:pPr>
    <w:rPr>
      <w:sz w:val="18"/>
      <w:szCs w:val="18"/>
    </w:rPr>
  </w:style>
  <w:style w:type="paragraph" w:styleId="a5">
    <w:name w:val="header"/>
    <w:basedOn w:val="a"/>
    <w:link w:val="Char1"/>
    <w:uiPriority w:val="99"/>
    <w:unhideWhenUsed/>
    <w:rsid w:val="00B87C8A"/>
    <w:pPr>
      <w:pBdr>
        <w:bottom w:val="single" w:sz="6" w:space="1" w:color="auto"/>
      </w:pBdr>
      <w:tabs>
        <w:tab w:val="center" w:pos="4153"/>
        <w:tab w:val="right" w:pos="8306"/>
      </w:tabs>
      <w:snapToGrid w:val="0"/>
      <w:jc w:val="center"/>
    </w:pPr>
    <w:rPr>
      <w:sz w:val="18"/>
      <w:szCs w:val="18"/>
    </w:rPr>
  </w:style>
  <w:style w:type="paragraph" w:customStyle="1" w:styleId="Default">
    <w:name w:val="Default"/>
    <w:unhideWhenUsed/>
    <w:qFormat/>
    <w:rsid w:val="00B87C8A"/>
    <w:pPr>
      <w:widowControl w:val="0"/>
      <w:autoSpaceDE w:val="0"/>
      <w:autoSpaceDN w:val="0"/>
      <w:adjustRightInd w:val="0"/>
      <w:ind w:firstLine="641"/>
      <w:jc w:val="both"/>
    </w:pPr>
    <w:rPr>
      <w:rFonts w:ascii="黑体" w:eastAsia="黑体" w:hAnsi="Calibri" w:cs="黑体" w:hint="eastAsia"/>
      <w:color w:val="000000"/>
      <w:sz w:val="24"/>
      <w:szCs w:val="24"/>
    </w:rPr>
  </w:style>
  <w:style w:type="paragraph" w:styleId="a6">
    <w:name w:val="List Paragraph"/>
    <w:basedOn w:val="a"/>
    <w:uiPriority w:val="34"/>
    <w:unhideWhenUsed/>
    <w:qFormat/>
    <w:rsid w:val="00B87C8A"/>
    <w:pPr>
      <w:ind w:firstLineChars="200" w:firstLine="420"/>
    </w:pPr>
  </w:style>
  <w:style w:type="paragraph" w:customStyle="1" w:styleId="GB2312">
    <w:name w:val="样式 仿宋_GB2312 四号"/>
    <w:basedOn w:val="a"/>
    <w:unhideWhenUsed/>
    <w:qFormat/>
    <w:rsid w:val="00B87C8A"/>
    <w:pPr>
      <w:spacing w:line="520" w:lineRule="exact"/>
      <w:ind w:firstLineChars="200" w:firstLine="200"/>
    </w:pPr>
    <w:rPr>
      <w:rFonts w:ascii="仿宋_GB2312" w:eastAsia="仿宋_GB2312" w:hAnsi="仿宋_GB2312"/>
      <w:sz w:val="28"/>
      <w:szCs w:val="20"/>
    </w:rPr>
  </w:style>
  <w:style w:type="character" w:customStyle="1" w:styleId="Char1">
    <w:name w:val="页眉 Char"/>
    <w:basedOn w:val="a0"/>
    <w:link w:val="a5"/>
    <w:uiPriority w:val="99"/>
    <w:unhideWhenUsed/>
    <w:locked/>
    <w:rsid w:val="00B87C8A"/>
    <w:rPr>
      <w:rFonts w:cs="Times New Roman" w:hint="default"/>
      <w:sz w:val="18"/>
      <w:szCs w:val="18"/>
    </w:rPr>
  </w:style>
  <w:style w:type="character" w:customStyle="1" w:styleId="Char0">
    <w:name w:val="页脚 Char"/>
    <w:basedOn w:val="a0"/>
    <w:link w:val="a4"/>
    <w:uiPriority w:val="99"/>
    <w:unhideWhenUsed/>
    <w:locked/>
    <w:rsid w:val="00B87C8A"/>
    <w:rPr>
      <w:rFonts w:cs="Times New Roman" w:hint="default"/>
      <w:sz w:val="18"/>
      <w:szCs w:val="18"/>
    </w:rPr>
  </w:style>
  <w:style w:type="character" w:customStyle="1" w:styleId="Char">
    <w:name w:val="日期 Char"/>
    <w:basedOn w:val="a0"/>
    <w:link w:val="a3"/>
    <w:uiPriority w:val="99"/>
    <w:unhideWhenUsed/>
    <w:locked/>
    <w:rsid w:val="00B87C8A"/>
    <w:rPr>
      <w:rFonts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0" w:unhideWhenUsed="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uiPriority="35"/>
    <w:lsdException w:name="Title" w:uiPriority="10"/>
    <w:lsdException w:name="Default Paragraph Font" w:uiPriority="1" w:unhideWhenUsed="1" w:qFormat="0"/>
    <w:lsdException w:name="Subtitle" w:uiPriority="11"/>
    <w:lsdException w:name="Date"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unhideWhenUsed="1"/>
    <w:lsdException w:name="Quote" w:semiHidden="1" w:unhideWhenUsed="1" w:qFormat="0"/>
    <w:lsdException w:name="Intense Quote" w:semiHidden="1"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83D14"/>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B87C8A"/>
    <w:pPr>
      <w:ind w:leftChars="2500" w:left="100"/>
    </w:pPr>
  </w:style>
  <w:style w:type="paragraph" w:styleId="a4">
    <w:name w:val="footer"/>
    <w:basedOn w:val="a"/>
    <w:link w:val="Char0"/>
    <w:uiPriority w:val="99"/>
    <w:unhideWhenUsed/>
    <w:rsid w:val="00B87C8A"/>
    <w:pPr>
      <w:tabs>
        <w:tab w:val="center" w:pos="4153"/>
        <w:tab w:val="right" w:pos="8306"/>
      </w:tabs>
      <w:snapToGrid w:val="0"/>
    </w:pPr>
    <w:rPr>
      <w:sz w:val="18"/>
      <w:szCs w:val="18"/>
    </w:rPr>
  </w:style>
  <w:style w:type="paragraph" w:styleId="a5">
    <w:name w:val="header"/>
    <w:basedOn w:val="a"/>
    <w:link w:val="Char1"/>
    <w:uiPriority w:val="99"/>
    <w:unhideWhenUsed/>
    <w:rsid w:val="00B87C8A"/>
    <w:pPr>
      <w:pBdr>
        <w:bottom w:val="single" w:sz="6" w:space="1" w:color="auto"/>
      </w:pBdr>
      <w:tabs>
        <w:tab w:val="center" w:pos="4153"/>
        <w:tab w:val="right" w:pos="8306"/>
      </w:tabs>
      <w:snapToGrid w:val="0"/>
      <w:jc w:val="center"/>
    </w:pPr>
    <w:rPr>
      <w:sz w:val="18"/>
      <w:szCs w:val="18"/>
    </w:rPr>
  </w:style>
  <w:style w:type="paragraph" w:customStyle="1" w:styleId="Default">
    <w:name w:val="Default"/>
    <w:unhideWhenUsed/>
    <w:qFormat/>
    <w:rsid w:val="00B87C8A"/>
    <w:pPr>
      <w:widowControl w:val="0"/>
      <w:autoSpaceDE w:val="0"/>
      <w:autoSpaceDN w:val="0"/>
      <w:adjustRightInd w:val="0"/>
      <w:ind w:firstLine="641"/>
      <w:jc w:val="both"/>
    </w:pPr>
    <w:rPr>
      <w:rFonts w:ascii="黑体" w:eastAsia="黑体" w:hAnsi="Calibri" w:cs="黑体" w:hint="eastAsia"/>
      <w:color w:val="000000"/>
      <w:sz w:val="24"/>
      <w:szCs w:val="24"/>
    </w:rPr>
  </w:style>
  <w:style w:type="paragraph" w:styleId="a6">
    <w:name w:val="List Paragraph"/>
    <w:basedOn w:val="a"/>
    <w:uiPriority w:val="34"/>
    <w:unhideWhenUsed/>
    <w:qFormat/>
    <w:rsid w:val="00B87C8A"/>
    <w:pPr>
      <w:ind w:firstLineChars="200" w:firstLine="420"/>
    </w:pPr>
  </w:style>
  <w:style w:type="paragraph" w:customStyle="1" w:styleId="GB2312">
    <w:name w:val="样式 仿宋_GB2312 四号"/>
    <w:basedOn w:val="a"/>
    <w:unhideWhenUsed/>
    <w:qFormat/>
    <w:rsid w:val="00B87C8A"/>
    <w:pPr>
      <w:spacing w:line="520" w:lineRule="exact"/>
      <w:ind w:firstLineChars="200" w:firstLine="200"/>
    </w:pPr>
    <w:rPr>
      <w:rFonts w:ascii="仿宋_GB2312" w:eastAsia="仿宋_GB2312" w:hAnsi="仿宋_GB2312"/>
      <w:sz w:val="28"/>
      <w:szCs w:val="20"/>
    </w:rPr>
  </w:style>
  <w:style w:type="character" w:customStyle="1" w:styleId="Char1">
    <w:name w:val="页眉 Char"/>
    <w:basedOn w:val="a0"/>
    <w:link w:val="a5"/>
    <w:uiPriority w:val="99"/>
    <w:unhideWhenUsed/>
    <w:locked/>
    <w:rsid w:val="00B87C8A"/>
    <w:rPr>
      <w:rFonts w:cs="Times New Roman" w:hint="default"/>
      <w:sz w:val="18"/>
      <w:szCs w:val="18"/>
    </w:rPr>
  </w:style>
  <w:style w:type="character" w:customStyle="1" w:styleId="Char0">
    <w:name w:val="页脚 Char"/>
    <w:basedOn w:val="a0"/>
    <w:link w:val="a4"/>
    <w:uiPriority w:val="99"/>
    <w:unhideWhenUsed/>
    <w:locked/>
    <w:rsid w:val="00B87C8A"/>
    <w:rPr>
      <w:rFonts w:cs="Times New Roman" w:hint="default"/>
      <w:sz w:val="18"/>
      <w:szCs w:val="18"/>
    </w:rPr>
  </w:style>
  <w:style w:type="character" w:customStyle="1" w:styleId="Char">
    <w:name w:val="日期 Char"/>
    <w:basedOn w:val="a0"/>
    <w:link w:val="a3"/>
    <w:uiPriority w:val="99"/>
    <w:unhideWhenUsed/>
    <w:locked/>
    <w:rsid w:val="00B87C8A"/>
    <w:rPr>
      <w:rFonts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40845">
      <w:bodyDiv w:val="1"/>
      <w:marLeft w:val="0"/>
      <w:marRight w:val="0"/>
      <w:marTop w:val="0"/>
      <w:marBottom w:val="0"/>
      <w:divBdr>
        <w:top w:val="none" w:sz="0" w:space="0" w:color="auto"/>
        <w:left w:val="none" w:sz="0" w:space="0" w:color="auto"/>
        <w:bottom w:val="none" w:sz="0" w:space="0" w:color="auto"/>
        <w:right w:val="none" w:sz="0" w:space="0" w:color="auto"/>
      </w:divBdr>
    </w:div>
    <w:div w:id="515846612">
      <w:bodyDiv w:val="1"/>
      <w:marLeft w:val="0"/>
      <w:marRight w:val="0"/>
      <w:marTop w:val="0"/>
      <w:marBottom w:val="0"/>
      <w:divBdr>
        <w:top w:val="none" w:sz="0" w:space="0" w:color="auto"/>
        <w:left w:val="none" w:sz="0" w:space="0" w:color="auto"/>
        <w:bottom w:val="none" w:sz="0" w:space="0" w:color="auto"/>
        <w:right w:val="none" w:sz="0" w:space="0" w:color="auto"/>
      </w:divBdr>
    </w:div>
    <w:div w:id="548495496">
      <w:bodyDiv w:val="1"/>
      <w:marLeft w:val="0"/>
      <w:marRight w:val="0"/>
      <w:marTop w:val="0"/>
      <w:marBottom w:val="0"/>
      <w:divBdr>
        <w:top w:val="none" w:sz="0" w:space="0" w:color="auto"/>
        <w:left w:val="none" w:sz="0" w:space="0" w:color="auto"/>
        <w:bottom w:val="none" w:sz="0" w:space="0" w:color="auto"/>
        <w:right w:val="none" w:sz="0" w:space="0" w:color="auto"/>
      </w:divBdr>
    </w:div>
    <w:div w:id="573780397">
      <w:bodyDiv w:val="1"/>
      <w:marLeft w:val="0"/>
      <w:marRight w:val="0"/>
      <w:marTop w:val="0"/>
      <w:marBottom w:val="0"/>
      <w:divBdr>
        <w:top w:val="none" w:sz="0" w:space="0" w:color="auto"/>
        <w:left w:val="none" w:sz="0" w:space="0" w:color="auto"/>
        <w:bottom w:val="none" w:sz="0" w:space="0" w:color="auto"/>
        <w:right w:val="none" w:sz="0" w:space="0" w:color="auto"/>
      </w:divBdr>
    </w:div>
    <w:div w:id="1122572586">
      <w:bodyDiv w:val="1"/>
      <w:marLeft w:val="0"/>
      <w:marRight w:val="0"/>
      <w:marTop w:val="0"/>
      <w:marBottom w:val="0"/>
      <w:divBdr>
        <w:top w:val="none" w:sz="0" w:space="0" w:color="auto"/>
        <w:left w:val="none" w:sz="0" w:space="0" w:color="auto"/>
        <w:bottom w:val="none" w:sz="0" w:space="0" w:color="auto"/>
        <w:right w:val="none" w:sz="0" w:space="0" w:color="auto"/>
      </w:divBdr>
    </w:div>
    <w:div w:id="1123960542">
      <w:bodyDiv w:val="1"/>
      <w:marLeft w:val="0"/>
      <w:marRight w:val="0"/>
      <w:marTop w:val="0"/>
      <w:marBottom w:val="0"/>
      <w:divBdr>
        <w:top w:val="none" w:sz="0" w:space="0" w:color="auto"/>
        <w:left w:val="none" w:sz="0" w:space="0" w:color="auto"/>
        <w:bottom w:val="none" w:sz="0" w:space="0" w:color="auto"/>
        <w:right w:val="none" w:sz="0" w:space="0" w:color="auto"/>
      </w:divBdr>
    </w:div>
    <w:div w:id="1137340360">
      <w:bodyDiv w:val="1"/>
      <w:marLeft w:val="0"/>
      <w:marRight w:val="0"/>
      <w:marTop w:val="0"/>
      <w:marBottom w:val="0"/>
      <w:divBdr>
        <w:top w:val="none" w:sz="0" w:space="0" w:color="auto"/>
        <w:left w:val="none" w:sz="0" w:space="0" w:color="auto"/>
        <w:bottom w:val="none" w:sz="0" w:space="0" w:color="auto"/>
        <w:right w:val="none" w:sz="0" w:space="0" w:color="auto"/>
      </w:divBdr>
    </w:div>
    <w:div w:id="1160929596">
      <w:bodyDiv w:val="1"/>
      <w:marLeft w:val="0"/>
      <w:marRight w:val="0"/>
      <w:marTop w:val="0"/>
      <w:marBottom w:val="0"/>
      <w:divBdr>
        <w:top w:val="none" w:sz="0" w:space="0" w:color="auto"/>
        <w:left w:val="none" w:sz="0" w:space="0" w:color="auto"/>
        <w:bottom w:val="none" w:sz="0" w:space="0" w:color="auto"/>
        <w:right w:val="none" w:sz="0" w:space="0" w:color="auto"/>
      </w:divBdr>
    </w:div>
    <w:div w:id="1179923873">
      <w:bodyDiv w:val="1"/>
      <w:marLeft w:val="0"/>
      <w:marRight w:val="0"/>
      <w:marTop w:val="0"/>
      <w:marBottom w:val="0"/>
      <w:divBdr>
        <w:top w:val="none" w:sz="0" w:space="0" w:color="auto"/>
        <w:left w:val="none" w:sz="0" w:space="0" w:color="auto"/>
        <w:bottom w:val="none" w:sz="0" w:space="0" w:color="auto"/>
        <w:right w:val="none" w:sz="0" w:space="0" w:color="auto"/>
      </w:divBdr>
    </w:div>
    <w:div w:id="1288510897">
      <w:bodyDiv w:val="1"/>
      <w:marLeft w:val="0"/>
      <w:marRight w:val="0"/>
      <w:marTop w:val="0"/>
      <w:marBottom w:val="0"/>
      <w:divBdr>
        <w:top w:val="none" w:sz="0" w:space="0" w:color="auto"/>
        <w:left w:val="none" w:sz="0" w:space="0" w:color="auto"/>
        <w:bottom w:val="none" w:sz="0" w:space="0" w:color="auto"/>
        <w:right w:val="none" w:sz="0" w:space="0" w:color="auto"/>
      </w:divBdr>
    </w:div>
    <w:div w:id="1316572223">
      <w:bodyDiv w:val="1"/>
      <w:marLeft w:val="0"/>
      <w:marRight w:val="0"/>
      <w:marTop w:val="0"/>
      <w:marBottom w:val="0"/>
      <w:divBdr>
        <w:top w:val="none" w:sz="0" w:space="0" w:color="auto"/>
        <w:left w:val="none" w:sz="0" w:space="0" w:color="auto"/>
        <w:bottom w:val="none" w:sz="0" w:space="0" w:color="auto"/>
        <w:right w:val="none" w:sz="0" w:space="0" w:color="auto"/>
      </w:divBdr>
    </w:div>
    <w:div w:id="1349333892">
      <w:bodyDiv w:val="1"/>
      <w:marLeft w:val="0"/>
      <w:marRight w:val="0"/>
      <w:marTop w:val="0"/>
      <w:marBottom w:val="0"/>
      <w:divBdr>
        <w:top w:val="none" w:sz="0" w:space="0" w:color="auto"/>
        <w:left w:val="none" w:sz="0" w:space="0" w:color="auto"/>
        <w:bottom w:val="none" w:sz="0" w:space="0" w:color="auto"/>
        <w:right w:val="none" w:sz="0" w:space="0" w:color="auto"/>
      </w:divBdr>
    </w:div>
    <w:div w:id="1377464548">
      <w:bodyDiv w:val="1"/>
      <w:marLeft w:val="0"/>
      <w:marRight w:val="0"/>
      <w:marTop w:val="0"/>
      <w:marBottom w:val="0"/>
      <w:divBdr>
        <w:top w:val="none" w:sz="0" w:space="0" w:color="auto"/>
        <w:left w:val="none" w:sz="0" w:space="0" w:color="auto"/>
        <w:bottom w:val="none" w:sz="0" w:space="0" w:color="auto"/>
        <w:right w:val="none" w:sz="0" w:space="0" w:color="auto"/>
      </w:divBdr>
    </w:div>
    <w:div w:id="1647932351">
      <w:bodyDiv w:val="1"/>
      <w:marLeft w:val="0"/>
      <w:marRight w:val="0"/>
      <w:marTop w:val="0"/>
      <w:marBottom w:val="0"/>
      <w:divBdr>
        <w:top w:val="none" w:sz="0" w:space="0" w:color="auto"/>
        <w:left w:val="none" w:sz="0" w:space="0" w:color="auto"/>
        <w:bottom w:val="none" w:sz="0" w:space="0" w:color="auto"/>
        <w:right w:val="none" w:sz="0" w:space="0" w:color="auto"/>
      </w:divBdr>
    </w:div>
    <w:div w:id="1830093539">
      <w:bodyDiv w:val="1"/>
      <w:marLeft w:val="0"/>
      <w:marRight w:val="0"/>
      <w:marTop w:val="0"/>
      <w:marBottom w:val="0"/>
      <w:divBdr>
        <w:top w:val="none" w:sz="0" w:space="0" w:color="auto"/>
        <w:left w:val="none" w:sz="0" w:space="0" w:color="auto"/>
        <w:bottom w:val="none" w:sz="0" w:space="0" w:color="auto"/>
        <w:right w:val="none" w:sz="0" w:space="0" w:color="auto"/>
      </w:divBdr>
    </w:div>
    <w:div w:id="1974212515">
      <w:bodyDiv w:val="1"/>
      <w:marLeft w:val="0"/>
      <w:marRight w:val="0"/>
      <w:marTop w:val="0"/>
      <w:marBottom w:val="0"/>
      <w:divBdr>
        <w:top w:val="none" w:sz="0" w:space="0" w:color="auto"/>
        <w:left w:val="none" w:sz="0" w:space="0" w:color="auto"/>
        <w:bottom w:val="none" w:sz="0" w:space="0" w:color="auto"/>
        <w:right w:val="none" w:sz="0" w:space="0" w:color="auto"/>
      </w:divBdr>
    </w:div>
    <w:div w:id="2066833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59</Pages>
  <Words>4724</Words>
  <Characters>26932</Characters>
  <Application>Microsoft Office Word</Application>
  <DocSecurity>0</DocSecurity>
  <Lines>224</Lines>
  <Paragraphs>63</Paragraphs>
  <ScaleCrop>false</ScaleCrop>
  <Company>Microsoft</Company>
  <LinksUpToDate>false</LinksUpToDate>
  <CharactersWithSpaces>31593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2023-09-19T02:19:00Z</dcterms:created>
  <dcterms:modified xsi:type="dcterms:W3CDTF">2024-08-28T08:33:00Z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D673B90D89CD41788A5811CB003F4069</vt:lpwstr>
  </property>
</Properties>
</file>